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ptos" w:cs="Aptos" w:eastAsia="Aptos" w:hAnsi="Aptos"/>
          <w:b/>
          <w:bCs/>
          <w:i w:val="false"/>
          <w:iCs w:val="false"/>
          <w:color w:val="1F3864"/>
          <w:sz w:val="32"/>
          <w:szCs w:val="32"/>
        </w:rPr>
        <w:t xml:space="preserve">ISMS-CRT-007  ·  Lessons Learned &amp; Recommendations</w:t>
      </w:r>
    </w:p>
    <w:p>
      <w:pPr>
        <w:pBdr>
          <w:bottom w:val="thick" w:color="1F3864" w:sz="6"/>
        </w:pBdr>
        <w:spacing w:after="0" w:before="6"/>
      </w:pPr>
      <w:r>
        <w:rPr>
          <w:rFonts w:ascii="Aptos" w:cs="Aptos" w:eastAsia="Aptos" w:hAnsi="Aptos"/>
          <w:b w:val="false"/>
          <w:bCs w:val="false"/>
          <w:i w:val="false"/>
          <w:iCs w:val="false"/>
          <w:color w:val="595959"/>
          <w:sz w:val="20"/>
          <w:szCs w:val="20"/>
        </w:rPr>
        <w:t xml:space="preserve">Project HealthSec  ·  MediSync Technologies Pvt. Ltd.  ·  April 2027  ·  Confidential</w:t>
      </w:r>
    </w:p>
    <w:p>
      <w:pPr>
        <w:spacing w:after="10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Audience</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CISO · Steering Committee · Consulting partner (future engagements)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Lessons from Project HealthSec (Feb 2026 – Apr 2027). Two categories: (A) operational lessons for MediSync's ongoing ISMS; (B) programme lessons for the consulting partner's future ISO 27001 engagements.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Format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Each lesson states what happened, then a specific recommendation. No padding.</w:t>
            </w:r>
          </w:p>
        </w:tc>
      </w:tr>
    </w:tbl>
    <w:p>
      <w:pPr>
        <w:spacing w:after="120" w:before="0"/>
        <w:jc w:val="left"/>
      </w:pPr>
      <w:r>
        <w:rPr>
          <w:rFonts w:ascii="Aptos" w:cs="Aptos" w:eastAsia="Aptos" w:hAnsi="Aptos"/>
          <w:b w:val="false"/>
          <w:bCs w:val="false"/>
          <w:i w:val="false"/>
          <w:iCs w:val="false"/>
          <w:color w:val="000000"/>
          <w:sz w:val="24"/>
          <w:szCs w:val="24"/>
        </w:rPr>
        <w:t xml:space="preserve"/>
      </w:r>
    </w:p>
    <w:p>
      <w:pPr>
        <w:pStyle w:val="Heading1"/>
        <w:spacing w:after="80" w:before="260"/>
      </w:pPr>
      <w:r>
        <w:rPr>
          <w:rFonts w:ascii="Aptos" w:cs="Aptos" w:eastAsia="Aptos" w:hAnsi="Aptos"/>
          <w:b/>
          <w:bCs/>
          <w:i w:val="false"/>
          <w:iCs w:val="false"/>
          <w:color w:val="000000"/>
          <w:sz w:val="32"/>
          <w:szCs w:val="32"/>
        </w:rPr>
        <w:t xml:space="preserve">Part A — Lessons for the Ongoing ISMS</w:t>
      </w:r>
    </w:p>
    <w:p>
      <w:pPr>
        <w:spacing w:after="100" w:before="0"/>
        <w:jc w:val="left"/>
      </w:pPr>
      <w:r>
        <w:rPr>
          <w:rFonts w:ascii="Aptos" w:cs="Aptos" w:eastAsia="Aptos" w:hAnsi="Aptos"/>
          <w:b w:val="false"/>
          <w:bCs w:val="false"/>
          <w:i/>
          <w:iCs/>
          <w:color w:val="595959"/>
          <w:sz w:val="24"/>
          <w:szCs w:val="24"/>
        </w:rPr>
        <w:t xml:space="preserve">These apply to MediSync from May 2027 onward. The ISMS Manager is responsible for acting on them.</w:t>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1F3864"/>
                <w:sz w:val="20"/>
                <w:szCs w:val="20"/>
              </w:rPr>
              <w:t xml:space="preserve">A-01  </w:t>
            </w:r>
            <w:r>
              <w:rPr>
                <w:rFonts w:ascii="Aptos" w:cs="Aptos" w:eastAsia="Aptos" w:hAnsi="Aptos"/>
                <w:b w:val="false"/>
                <w:bCs w:val="false"/>
                <w:i w:val="false"/>
                <w:iCs w:val="false"/>
                <w:color w:val="595959"/>
                <w:sz w:val="18"/>
                <w:szCs w:val="18"/>
              </w:rPr>
              <w:t xml:space="preserve">Process design</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All three Audit 1 NCRs traced to the same root cause: human action with no verification mechanism.</w:t>
            </w:r>
          </w:p>
          <w:p>
            <w:pPr>
              <w:spacing w:after="0" w:before="0"/>
            </w:pPr>
            <w:r>
              <w:rPr>
                <w:rFonts w:ascii="Aptos" w:cs="Aptos" w:eastAsia="Aptos" w:hAnsi="Aptos"/>
                <w:b/>
                <w:bCs/>
                <w:i w:val="false"/>
                <w:iCs w:val="false"/>
                <w:color w:val="1F3864"/>
                <w:sz w:val="20"/>
                <w:szCs w:val="20"/>
              </w:rPr>
              <w:t xml:space="preserve">→ </w:t>
            </w:r>
            <w:r>
              <w:rPr>
                <w:rFonts w:ascii="Aptos" w:cs="Aptos" w:eastAsia="Aptos" w:hAnsi="Aptos"/>
                <w:b w:val="false"/>
                <w:bCs w:val="false"/>
                <w:i/>
                <w:iCs/>
                <w:color w:val="595959"/>
                <w:sz w:val="20"/>
                <w:szCs w:val="20"/>
              </w:rPr>
              <w:t xml:space="preserve">Every process that requires a person to take an undirected action must have a trigger or checkpoint alongside it. OPS-002's new retrieval verification step is the template — apply the same thinking to every future process you design.</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1F3864"/>
                <w:sz w:val="20"/>
                <w:szCs w:val="20"/>
              </w:rPr>
              <w:t xml:space="preserve">A-02  </w:t>
            </w:r>
            <w:r>
              <w:rPr>
                <w:rFonts w:ascii="Aptos" w:cs="Aptos" w:eastAsia="Aptos" w:hAnsi="Aptos"/>
                <w:b w:val="false"/>
                <w:bCs w:val="false"/>
                <w:i w:val="false"/>
                <w:iCs w:val="false"/>
                <w:color w:val="595959"/>
                <w:sz w:val="18"/>
                <w:szCs w:val="18"/>
              </w:rPr>
              <w:t xml:space="preserve">Process design</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S2-C002 (A6.3 OPS-002 entry) was a late-identified instance of the same NCR-001 root cause. The retrieval verification step was added to the completion guidance after NCR-001, but A6.3 had already been filed without it.</w:t>
            </w:r>
          </w:p>
          <w:p>
            <w:pPr>
              <w:spacing w:after="0" w:before="0"/>
            </w:pPr>
            <w:r>
              <w:rPr>
                <w:rFonts w:ascii="Aptos" w:cs="Aptos" w:eastAsia="Aptos" w:hAnsi="Aptos"/>
                <w:b/>
                <w:bCs/>
                <w:i w:val="false"/>
                <w:iCs w:val="false"/>
                <w:color w:val="1F3864"/>
                <w:sz w:val="20"/>
                <w:szCs w:val="20"/>
              </w:rPr>
              <w:t xml:space="preserve">→ </w:t>
            </w:r>
            <w:r>
              <w:rPr>
                <w:rFonts w:ascii="Aptos" w:cs="Aptos" w:eastAsia="Aptos" w:hAnsi="Aptos"/>
                <w:b w:val="false"/>
                <w:bCs w:val="false"/>
                <w:i/>
                <w:iCs/>
                <w:color w:val="595959"/>
                <w:sz w:val="20"/>
                <w:szCs w:val="20"/>
              </w:rPr>
              <w:t xml:space="preserve">When a systemic fix is applied, retrospectively check all prior entries that were filed without it — do not assume earlier entries are clean. The retrospective OPS-002 check (ST1-A04) was effective; build this retrospective pass into future corrective actions as a standard step.</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C00000" w:sz="4"/>
              <w:left w:val="single" w:color="C00000" w:sz="4"/>
              <w:bottom w:val="single" w:color="C00000" w:sz="4"/>
              <w:right w:val="none"/>
            </w:tcBorders>
            <w:shd w:fill="C00000"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C00000"/>
                <w:sz w:val="20"/>
                <w:szCs w:val="20"/>
              </w:rPr>
              <w:t xml:space="preserve">A-03  </w:t>
            </w:r>
            <w:r>
              <w:rPr>
                <w:rFonts w:ascii="Aptos" w:cs="Aptos" w:eastAsia="Aptos" w:hAnsi="Aptos"/>
                <w:b w:val="false"/>
                <w:bCs w:val="false"/>
                <w:i w:val="false"/>
                <w:iCs w:val="false"/>
                <w:color w:val="595959"/>
                <w:sz w:val="18"/>
                <w:szCs w:val="18"/>
              </w:rPr>
              <w:t xml:space="preserve">Audit preparation</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15-control SoA spot-check at Stage 2 returned 15/15. This was not luck — it was because the retrospective verification pass (ST1-A04) was done. Without it, the Stage 1 result (9/10) would likely have repeated.</w:t>
            </w:r>
          </w:p>
          <w:p>
            <w:pPr>
              <w:spacing w:after="0" w:before="0"/>
            </w:pPr>
            <w:r>
              <w:rPr>
                <w:rFonts w:ascii="Aptos" w:cs="Aptos" w:eastAsia="Aptos" w:hAnsi="Aptos"/>
                <w:b/>
                <w:bCs/>
                <w:i w:val="false"/>
                <w:iCs w:val="false"/>
                <w:color w:val="C00000"/>
                <w:sz w:val="20"/>
                <w:szCs w:val="20"/>
              </w:rPr>
              <w:t xml:space="preserve">→ </w:t>
            </w:r>
            <w:r>
              <w:rPr>
                <w:rFonts w:ascii="Aptos" w:cs="Aptos" w:eastAsia="Aptos" w:hAnsi="Aptos"/>
                <w:b w:val="false"/>
                <w:bCs w:val="false"/>
                <w:i/>
                <w:iCs/>
                <w:color w:val="595959"/>
                <w:sz w:val="20"/>
                <w:szCs w:val="20"/>
              </w:rPr>
              <w:t xml:space="preserve">Run an independent OPS-002 retrieval check at least 6 weeks before every future surveillance audit. The ISMS Manager should not be the checker — ask the Deputy ISMS Manager or another team member to navigate to each cited path without assistance.</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833C00" w:sz="4"/>
              <w:left w:val="single" w:color="833C00" w:sz="4"/>
              <w:bottom w:val="single" w:color="833C00" w:sz="4"/>
              <w:right w:val="none"/>
            </w:tcBorders>
            <w:shd w:fill="833C00"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833C00"/>
                <w:sz w:val="20"/>
                <w:szCs w:val="20"/>
              </w:rPr>
              <w:t xml:space="preserve">A-04  </w:t>
            </w:r>
            <w:r>
              <w:rPr>
                <w:rFonts w:ascii="Aptos" w:cs="Aptos" w:eastAsia="Aptos" w:hAnsi="Aptos"/>
                <w:b w:val="false"/>
                <w:bCs w:val="false"/>
                <w:i w:val="false"/>
                <w:iCs w:val="false"/>
                <w:color w:val="595959"/>
                <w:sz w:val="18"/>
                <w:szCs w:val="18"/>
              </w:rPr>
              <w:t xml:space="preserve">Security culture</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phishing simulation produced the most commercially legible evidence of ISMS value in the programme. The Finance result (18.4% → 4.2%) directly closed the loop on the 2024 near-miss that started the programme.</w:t>
            </w:r>
          </w:p>
          <w:p>
            <w:pPr>
              <w:spacing w:after="0" w:before="0"/>
            </w:pPr>
            <w:r>
              <w:rPr>
                <w:rFonts w:ascii="Aptos" w:cs="Aptos" w:eastAsia="Aptos" w:hAnsi="Aptos"/>
                <w:b/>
                <w:bCs/>
                <w:i w:val="false"/>
                <w:iCs w:val="false"/>
                <w:color w:val="833C00"/>
                <w:sz w:val="20"/>
                <w:szCs w:val="20"/>
              </w:rPr>
              <w:t xml:space="preserve">→ </w:t>
            </w:r>
            <w:r>
              <w:rPr>
                <w:rFonts w:ascii="Aptos" w:cs="Aptos" w:eastAsia="Aptos" w:hAnsi="Aptos"/>
                <w:b w:val="false"/>
                <w:bCs w:val="false"/>
                <w:i/>
                <w:iCs/>
                <w:color w:val="595959"/>
                <w:sz w:val="20"/>
                <w:szCs w:val="20"/>
              </w:rPr>
              <w:t xml:space="preserve">Run the annual phishing simulation on the same methodology (same vendor, same template type) each time. Comparability across years is more valuable than scenario novelty. Present the trend — not just the latest number — to the Steering Committee.</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2E75B6" w:sz="4"/>
              <w:left w:val="single" w:color="2E75B6" w:sz="4"/>
              <w:bottom w:val="single" w:color="2E75B6" w:sz="4"/>
              <w:right w:val="none"/>
            </w:tcBorders>
            <w:shd w:fill="2E75B6"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2E75B6"/>
                <w:sz w:val="20"/>
                <w:szCs w:val="20"/>
              </w:rPr>
              <w:t xml:space="preserve">A-05  </w:t>
            </w:r>
            <w:r>
              <w:rPr>
                <w:rFonts w:ascii="Aptos" w:cs="Aptos" w:eastAsia="Aptos" w:hAnsi="Aptos"/>
                <w:b w:val="false"/>
                <w:bCs w:val="false"/>
                <w:i w:val="false"/>
                <w:iCs w:val="false"/>
                <w:color w:val="595959"/>
                <w:sz w:val="18"/>
                <w:szCs w:val="18"/>
              </w:rPr>
              <w:t xml:space="preserve">Executive engagement</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CEO interview at Stage 2 was the highest-quality management commitment evidence in the audit. It was genuine because the CEO had actually participated for 14 months, not because she was briefed the week before.</w:t>
            </w:r>
          </w:p>
          <w:p>
            <w:pPr>
              <w:spacing w:after="0" w:before="0"/>
            </w:pPr>
            <w:r>
              <w:rPr>
                <w:rFonts w:ascii="Aptos" w:cs="Aptos" w:eastAsia="Aptos" w:hAnsi="Aptos"/>
                <w:b/>
                <w:bCs/>
                <w:i w:val="false"/>
                <w:iCs w:val="false"/>
                <w:color w:val="2E75B6"/>
                <w:sz w:val="20"/>
                <w:szCs w:val="20"/>
              </w:rPr>
              <w:t xml:space="preserve">→ </w:t>
            </w:r>
            <w:r>
              <w:rPr>
                <w:rFonts w:ascii="Aptos" w:cs="Aptos" w:eastAsia="Aptos" w:hAnsi="Aptos"/>
                <w:b w:val="false"/>
                <w:bCs w:val="false"/>
                <w:i/>
                <w:iCs/>
                <w:color w:val="595959"/>
                <w:sz w:val="20"/>
                <w:szCs w:val="20"/>
              </w:rPr>
              <w:t xml:space="preserve">Do not brief the CEO before surveillance audits. Briefs produce scripted answers that an experienced auditor can distinguish from genuine familiarity. The monthly GRC report — read and engaged with — is the preparation. Keep it informative, not performative.</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595959" w:sz="4"/>
              <w:left w:val="single" w:color="595959" w:sz="4"/>
              <w:bottom w:val="single" w:color="595959" w:sz="4"/>
              <w:right w:val="none"/>
            </w:tcBorders>
            <w:shd w:fill="595959"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595959"/>
                <w:sz w:val="20"/>
                <w:szCs w:val="20"/>
              </w:rPr>
              <w:t xml:space="preserve">A-06  </w:t>
            </w:r>
            <w:r>
              <w:rPr>
                <w:rFonts w:ascii="Aptos" w:cs="Aptos" w:eastAsia="Aptos" w:hAnsi="Aptos"/>
                <w:b w:val="false"/>
                <w:bCs w:val="false"/>
                <w:i w:val="false"/>
                <w:iCs w:val="false"/>
                <w:color w:val="595959"/>
                <w:sz w:val="18"/>
                <w:szCs w:val="18"/>
              </w:rPr>
              <w:t xml:space="preserve">Vendor management</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SentinelWatch BCDR test (R-021 treatment condition) was due March 2027. Its completion status was not confirmed before programme closure and was flagged as "CHECK REQUIRED" in CRT-003.</w:t>
            </w:r>
          </w:p>
          <w:p>
            <w:pPr>
              <w:spacing w:after="0" w:before="0"/>
            </w:pPr>
            <w:r>
              <w:rPr>
                <w:rFonts w:ascii="Aptos" w:cs="Aptos" w:eastAsia="Aptos" w:hAnsi="Aptos"/>
                <w:b/>
                <w:bCs/>
                <w:i w:val="false"/>
                <w:iCs w:val="false"/>
                <w:color w:val="595959"/>
                <w:sz w:val="20"/>
                <w:szCs w:val="20"/>
              </w:rPr>
              <w:t xml:space="preserve">→ </w:t>
            </w:r>
            <w:r>
              <w:rPr>
                <w:rFonts w:ascii="Aptos" w:cs="Aptos" w:eastAsia="Aptos" w:hAnsi="Aptos"/>
                <w:b w:val="false"/>
                <w:bCs w:val="false"/>
                <w:i/>
                <w:iCs/>
                <w:color w:val="595959"/>
                <w:sz w:val="20"/>
                <w:szCs w:val="20"/>
              </w:rPr>
              <w:t xml:space="preserve">Security schedule conditions should be tracked in the monthly GRC report with a named owner and a due date. If a vendor misses a committed date, escalate immediately — do not let it drift to the surveillance audit.</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006B6B" w:sz="4"/>
              <w:left w:val="single" w:color="006B6B" w:sz="4"/>
              <w:bottom w:val="single" w:color="006B6B" w:sz="4"/>
              <w:right w:val="none"/>
            </w:tcBorders>
            <w:shd w:fill="006B6B"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006B6B"/>
                <w:sz w:val="20"/>
                <w:szCs w:val="20"/>
              </w:rPr>
              <w:t xml:space="preserve">A-07  </w:t>
            </w:r>
            <w:r>
              <w:rPr>
                <w:rFonts w:ascii="Aptos" w:cs="Aptos" w:eastAsia="Aptos" w:hAnsi="Aptos"/>
                <w:b w:val="false"/>
                <w:bCs w:val="false"/>
                <w:i w:val="false"/>
                <w:iCs w:val="false"/>
                <w:color w:val="595959"/>
                <w:sz w:val="18"/>
                <w:szCs w:val="18"/>
              </w:rPr>
              <w:t xml:space="preserve">Regulatory</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DPDP Act uncertainty (A5.31 IP) will persist until implementation rules are published. The monitoring obligation is clear; the evidence of monitoring is not automatic.</w:t>
            </w:r>
          </w:p>
          <w:p>
            <w:pPr>
              <w:spacing w:after="0" w:before="0"/>
            </w:pPr>
            <w:r>
              <w:rPr>
                <w:rFonts w:ascii="Aptos" w:cs="Aptos" w:eastAsia="Aptos" w:hAnsi="Aptos"/>
                <w:b/>
                <w:bCs/>
                <w:i w:val="false"/>
                <w:iCs w:val="false"/>
                <w:color w:val="006B6B"/>
                <w:sz w:val="20"/>
                <w:szCs w:val="20"/>
              </w:rPr>
              <w:t xml:space="preserve">→ </w:t>
            </w:r>
            <w:r>
              <w:rPr>
                <w:rFonts w:ascii="Aptos" w:cs="Aptos" w:eastAsia="Aptos" w:hAnsi="Aptos"/>
                <w:b w:val="false"/>
                <w:bCs w:val="false"/>
                <w:i/>
                <w:iCs/>
                <w:color w:val="595959"/>
                <w:sz w:val="20"/>
                <w:szCs w:val="20"/>
              </w:rPr>
              <w:t xml:space="preserve">Document every quarterly DPDP Act monitoring review — even when there is nothing to update. A log of "rules not yet published — no action required — next review date: [date]" is itself the evidence. An empty log looks like no monitoring happened.</w:t>
            </w:r>
          </w:p>
        </w:tc>
      </w:tr>
    </w:tbl>
    <w:p>
      <w:pPr>
        <w:spacing w:after="60" w:before="0"/>
        <w:jc w:val="left"/>
      </w:pPr>
      <w:r>
        <w:rPr>
          <w:rFonts w:ascii="Aptos" w:cs="Aptos" w:eastAsia="Aptos" w:hAnsi="Aptos"/>
          <w:b w:val="false"/>
          <w:bCs w:val="false"/>
          <w:i w:val="false"/>
          <w:iCs w:val="false"/>
          <w:color w:val="000000"/>
          <w:sz w:val="24"/>
          <w:szCs w:val="24"/>
        </w:rPr>
        <w:t xml:space="preserve"/>
      </w:r>
    </w:p>
    <w:p>
      <w:pPr>
        <w:pStyle w:val="Heading1"/>
        <w:spacing w:after="80" w:before="260"/>
      </w:pPr>
      <w:r>
        <w:rPr>
          <w:rFonts w:ascii="Aptos" w:cs="Aptos" w:eastAsia="Aptos" w:hAnsi="Aptos"/>
          <w:b/>
          <w:bCs/>
          <w:i w:val="false"/>
          <w:iCs w:val="false"/>
          <w:color w:val="000000"/>
          <w:sz w:val="32"/>
          <w:szCs w:val="32"/>
        </w:rPr>
        <w:t xml:space="preserve">Part B — Lessons for Future ISO 27001 Programmes</w:t>
      </w:r>
    </w:p>
    <w:p>
      <w:pPr>
        <w:spacing w:after="100" w:before="0"/>
        <w:jc w:val="left"/>
      </w:pPr>
      <w:r>
        <w:rPr>
          <w:rFonts w:ascii="Aptos" w:cs="Aptos" w:eastAsia="Aptos" w:hAnsi="Aptos"/>
          <w:b w:val="false"/>
          <w:bCs w:val="false"/>
          <w:i/>
          <w:iCs/>
          <w:color w:val="595959"/>
          <w:sz w:val="24"/>
          <w:szCs w:val="24"/>
        </w:rPr>
        <w:t xml:space="preserve">These are for the consulting partner and for MediSync if it runs future certification programmes (e.g. SOC 2, ISO 42001).</w:t>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1F3864" w:sz="4"/>
              <w:left w:val="single" w:color="1F3864" w:sz="4"/>
              <w:bottom w:val="single" w:color="1F3864" w:sz="4"/>
              <w:right w:val="none"/>
            </w:tcBorders>
            <w:shd w:fill="1F3864"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1F3864"/>
                <w:sz w:val="20"/>
                <w:szCs w:val="20"/>
              </w:rPr>
              <w:t xml:space="preserve">B-01  </w:t>
            </w:r>
            <w:r>
              <w:rPr>
                <w:rFonts w:ascii="Aptos" w:cs="Aptos" w:eastAsia="Aptos" w:hAnsi="Aptos"/>
                <w:b w:val="false"/>
                <w:bCs w:val="false"/>
                <w:i w:val="false"/>
                <w:iCs w:val="false"/>
                <w:color w:val="595959"/>
                <w:sz w:val="18"/>
                <w:szCs w:val="18"/>
              </w:rPr>
              <w:t xml:space="preserve">Process design</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Verification checkpoints should be designed into every ISMS process from the start — not retrofitted after the first NCR. All three Audit 1 NCRs were fixable, but they were avoidable.</w:t>
            </w:r>
          </w:p>
          <w:p>
            <w:pPr>
              <w:spacing w:after="0" w:before="0"/>
            </w:pPr>
            <w:r>
              <w:rPr>
                <w:rFonts w:ascii="Aptos" w:cs="Aptos" w:eastAsia="Aptos" w:hAnsi="Aptos"/>
                <w:b/>
                <w:bCs/>
                <w:i w:val="false"/>
                <w:iCs w:val="false"/>
                <w:color w:val="1F3864"/>
                <w:sz w:val="20"/>
                <w:szCs w:val="20"/>
              </w:rPr>
              <w:t xml:space="preserve">→ </w:t>
            </w:r>
            <w:r>
              <w:rPr>
                <w:rFonts w:ascii="Aptos" w:cs="Aptos" w:eastAsia="Aptos" w:hAnsi="Aptos"/>
                <w:b w:val="false"/>
                <w:bCs w:val="false"/>
                <w:i/>
                <w:iCs/>
                <w:color w:val="595959"/>
                <w:sz w:val="20"/>
                <w:szCs w:val="20"/>
              </w:rPr>
              <w:t xml:space="preserve">In the programme design phase, apply a "verification checkpoint" review to every process that requires undirected human action. Ask: what stops this person from forgetting to do this? If the answer is "nothing", add a trigger before the process is deployed.</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7030A0" w:sz="4"/>
              <w:left w:val="single" w:color="7030A0" w:sz="4"/>
              <w:bottom w:val="single" w:color="7030A0" w:sz="4"/>
              <w:right w:val="none"/>
            </w:tcBorders>
            <w:shd w:fill="7030A0"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7030A0"/>
                <w:sz w:val="20"/>
                <w:szCs w:val="20"/>
              </w:rPr>
              <w:t xml:space="preserve">B-02  </w:t>
            </w:r>
            <w:r>
              <w:rPr>
                <w:rFonts w:ascii="Aptos" w:cs="Aptos" w:eastAsia="Aptos" w:hAnsi="Aptos"/>
                <w:b w:val="false"/>
                <w:bCs w:val="false"/>
                <w:i w:val="false"/>
                <w:iCs w:val="false"/>
                <w:color w:val="595959"/>
                <w:sz w:val="18"/>
                <w:szCs w:val="18"/>
              </w:rPr>
              <w:t xml:space="preserve">Delivery pace</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Phase 5 (11 documents in 3 months) was the highest-velocity phase and produced the most latent gaps. Two NCRs traced directly to documentation completed under time pressure without a closing verification pass.</w:t>
            </w:r>
          </w:p>
          <w:p>
            <w:pPr>
              <w:spacing w:after="0" w:before="0"/>
            </w:pPr>
            <w:r>
              <w:rPr>
                <w:rFonts w:ascii="Aptos" w:cs="Aptos" w:eastAsia="Aptos" w:hAnsi="Aptos"/>
                <w:b/>
                <w:bCs/>
                <w:i w:val="false"/>
                <w:iCs w:val="false"/>
                <w:color w:val="7030A0"/>
                <w:sz w:val="20"/>
                <w:szCs w:val="20"/>
              </w:rPr>
              <w:t xml:space="preserve">→ </w:t>
            </w:r>
            <w:r>
              <w:rPr>
                <w:rFonts w:ascii="Aptos" w:cs="Aptos" w:eastAsia="Aptos" w:hAnsi="Aptos"/>
                <w:b w:val="false"/>
                <w:bCs w:val="false"/>
                <w:i/>
                <w:iCs/>
                <w:color w:val="595959"/>
                <w:sz w:val="20"/>
                <w:szCs w:val="20"/>
              </w:rPr>
              <w:t xml:space="preserve">Build a mandatory "last mile" verification pass into every documentation tranche before it is accepted as complete. Scope: every cited evidence path retrievable, every cross-reference tested in the live document, every procedure confirmed briefed to the right audience. This is a half-day of work that prevented three auditable NCRs should have cost nothing.</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375623"/>
                <w:sz w:val="20"/>
                <w:szCs w:val="20"/>
              </w:rPr>
              <w:t xml:space="preserve">B-03  </w:t>
            </w:r>
            <w:r>
              <w:rPr>
                <w:rFonts w:ascii="Aptos" w:cs="Aptos" w:eastAsia="Aptos" w:hAnsi="Aptos"/>
                <w:b w:val="false"/>
                <w:bCs w:val="false"/>
                <w:i w:val="false"/>
                <w:iCs w:val="false"/>
                <w:color w:val="595959"/>
                <w:sz w:val="18"/>
                <w:szCs w:val="18"/>
              </w:rPr>
              <w:t xml:space="preserve">Testing</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October 2026 tabletop exercise was scheduled before Audit 1 and produced five real procedure findings — all incorporated into OPS-005 before the audit. If the tabletop had been after the audit, those would have been audit findings.</w:t>
            </w:r>
          </w:p>
          <w:p>
            <w:pPr>
              <w:spacing w:after="0" w:before="0"/>
            </w:pPr>
            <w:r>
              <w:rPr>
                <w:rFonts w:ascii="Aptos" w:cs="Aptos" w:eastAsia="Aptos" w:hAnsi="Aptos"/>
                <w:b/>
                <w:bCs/>
                <w:i w:val="false"/>
                <w:iCs w:val="false"/>
                <w:color w:val="375623"/>
                <w:sz w:val="20"/>
                <w:szCs w:val="20"/>
              </w:rPr>
              <w:t xml:space="preserve">→ </w:t>
            </w:r>
            <w:r>
              <w:rPr>
                <w:rFonts w:ascii="Aptos" w:cs="Aptos" w:eastAsia="Aptos" w:hAnsi="Aptos"/>
                <w:b w:val="false"/>
                <w:bCs w:val="false"/>
                <w:i/>
                <w:iCs/>
                <w:color w:val="595959"/>
                <w:sz w:val="20"/>
                <w:szCs w:val="20"/>
              </w:rPr>
              <w:t xml:space="preserve">Schedule the tabletop at least 6 weeks before the internal audit, not after. Design it to find real gaps under time pressure — not to rehearse a procedure. A tabletop that finds nothing has been designed by the people who will take it.</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833C00" w:sz="4"/>
              <w:left w:val="single" w:color="833C00" w:sz="4"/>
              <w:bottom w:val="single" w:color="833C00" w:sz="4"/>
              <w:right w:val="none"/>
            </w:tcBorders>
            <w:shd w:fill="833C00"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833C00"/>
                <w:sz w:val="20"/>
                <w:szCs w:val="20"/>
              </w:rPr>
              <w:t xml:space="preserve">B-04  </w:t>
            </w:r>
            <w:r>
              <w:rPr>
                <w:rFonts w:ascii="Aptos" w:cs="Aptos" w:eastAsia="Aptos" w:hAnsi="Aptos"/>
                <w:b w:val="false"/>
                <w:bCs w:val="false"/>
                <w:i w:val="false"/>
                <w:iCs w:val="false"/>
                <w:color w:val="595959"/>
                <w:sz w:val="18"/>
                <w:szCs w:val="18"/>
              </w:rPr>
              <w:t xml:space="preserve">Security culture</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Starting the phishing simulation programme in Month 5 (August 2026) gave 6 months to the second simulation. That was enough to show a 62.4% improvement — which was a positive certification finding. Starting in Month 1 would have given more data and more impact.</w:t>
            </w:r>
          </w:p>
          <w:p>
            <w:pPr>
              <w:spacing w:after="0" w:before="0"/>
            </w:pPr>
            <w:r>
              <w:rPr>
                <w:rFonts w:ascii="Aptos" w:cs="Aptos" w:eastAsia="Aptos" w:hAnsi="Aptos"/>
                <w:b/>
                <w:bCs/>
                <w:i w:val="false"/>
                <w:iCs w:val="false"/>
                <w:color w:val="833C00"/>
                <w:sz w:val="20"/>
                <w:szCs w:val="20"/>
              </w:rPr>
              <w:t xml:space="preserve">→ </w:t>
            </w:r>
            <w:r>
              <w:rPr>
                <w:rFonts w:ascii="Aptos" w:cs="Aptos" w:eastAsia="Aptos" w:hAnsi="Aptos"/>
                <w:b w:val="false"/>
                <w:bCs w:val="false"/>
                <w:i/>
                <w:iCs/>
                <w:color w:val="595959"/>
                <w:sz w:val="20"/>
                <w:szCs w:val="20"/>
              </w:rPr>
              <w:t xml:space="preserve">Start phishing simulations in Month 1 of an ISO 27001 programme. The baseline is the most important data point — establish it early. Run at minimum 2 cycles before Stage 2. Three is better.</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2E75B6" w:sz="4"/>
              <w:left w:val="single" w:color="2E75B6" w:sz="4"/>
              <w:bottom w:val="single" w:color="2E75B6" w:sz="4"/>
              <w:right w:val="none"/>
            </w:tcBorders>
            <w:shd w:fill="2E75B6"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2E75B6"/>
                <w:sz w:val="20"/>
                <w:szCs w:val="20"/>
              </w:rPr>
              <w:t xml:space="preserve">B-05  </w:t>
            </w:r>
            <w:r>
              <w:rPr>
                <w:rFonts w:ascii="Aptos" w:cs="Aptos" w:eastAsia="Aptos" w:hAnsi="Aptos"/>
                <w:b w:val="false"/>
                <w:bCs w:val="false"/>
                <w:i w:val="false"/>
                <w:iCs w:val="false"/>
                <w:color w:val="595959"/>
                <w:sz w:val="18"/>
                <w:szCs w:val="18"/>
              </w:rPr>
              <w:t xml:space="preserve">Executive engagement</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CEO's Stage 2 knowledge check passed not because she was briefed the week before, but because she had participated in monthly GRC reports and quarterly Steering Committees for 14 months. This is the single most auditable evidence of genuine management commitment.</w:t>
            </w:r>
          </w:p>
          <w:p>
            <w:pPr>
              <w:spacing w:after="0" w:before="0"/>
            </w:pPr>
            <w:r>
              <w:rPr>
                <w:rFonts w:ascii="Aptos" w:cs="Aptos" w:eastAsia="Aptos" w:hAnsi="Aptos"/>
                <w:b/>
                <w:bCs/>
                <w:i w:val="false"/>
                <w:iCs w:val="false"/>
                <w:color w:val="2E75B6"/>
                <w:sz w:val="20"/>
                <w:szCs w:val="20"/>
              </w:rPr>
              <w:t xml:space="preserve">→ </w:t>
            </w:r>
            <w:r>
              <w:rPr>
                <w:rFonts w:ascii="Aptos" w:cs="Aptos" w:eastAsia="Aptos" w:hAnsi="Aptos"/>
                <w:b w:val="false"/>
                <w:bCs w:val="false"/>
                <w:i/>
                <w:iCs/>
                <w:color w:val="595959"/>
                <w:sz w:val="20"/>
                <w:szCs w:val="20"/>
              </w:rPr>
              <w:t xml:space="preserve">Structure CEO engagement from Month 1: monthly GRC report to CISO and CEO, quarterly SC chaired by CEO, annual management review signed by CEO. Write the GRC report so a non-technical executive can read it in 10 minutes and know what matters. A CEO who reads it will be a CEO who can answer an auditor's question.</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C00000" w:sz="4"/>
              <w:left w:val="single" w:color="C00000" w:sz="4"/>
              <w:bottom w:val="single" w:color="C00000" w:sz="4"/>
              <w:right w:val="none"/>
            </w:tcBorders>
            <w:shd w:fill="C00000"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C00000"/>
                <w:sz w:val="20"/>
                <w:szCs w:val="20"/>
              </w:rPr>
              <w:t xml:space="preserve">B-06  </w:t>
            </w:r>
            <w:r>
              <w:rPr>
                <w:rFonts w:ascii="Aptos" w:cs="Aptos" w:eastAsia="Aptos" w:hAnsi="Aptos"/>
                <w:b w:val="false"/>
                <w:bCs w:val="false"/>
                <w:i w:val="false"/>
                <w:iCs w:val="false"/>
                <w:color w:val="595959"/>
                <w:sz w:val="18"/>
                <w:szCs w:val="18"/>
              </w:rPr>
              <w:t xml:space="preserve">Audit preparation</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Stage 1 documentary review found S2-C002 (A6.3 evidence) — an issue the internal audit had not caught. A 10-control spot-check with a focus on evidence retrievability would have found it before Stage 1.</w:t>
            </w:r>
          </w:p>
          <w:p>
            <w:pPr>
              <w:spacing w:after="0" w:before="0"/>
            </w:pPr>
            <w:r>
              <w:rPr>
                <w:rFonts w:ascii="Aptos" w:cs="Aptos" w:eastAsia="Aptos" w:hAnsi="Aptos"/>
                <w:b/>
                <w:bCs/>
                <w:i w:val="false"/>
                <w:iCs w:val="false"/>
                <w:color w:val="C00000"/>
                <w:sz w:val="20"/>
                <w:szCs w:val="20"/>
              </w:rPr>
              <w:t xml:space="preserve">→ </w:t>
            </w:r>
            <w:r>
              <w:rPr>
                <w:rFonts w:ascii="Aptos" w:cs="Aptos" w:eastAsia="Aptos" w:hAnsi="Aptos"/>
                <w:b w:val="false"/>
                <w:bCs w:val="false"/>
                <w:i/>
                <w:iCs/>
                <w:color w:val="595959"/>
                <w:sz w:val="20"/>
                <w:szCs w:val="20"/>
              </w:rPr>
              <w:t xml:space="preserve">Include an independent evidence retrievability spot-check in the internal audit programme — not just a document review. Ask the audit lead to navigate to 10 randomly selected OPS-002 evidence paths without assistance. This takes 90 minutes and surfaces exactly the kind of issue the certification body will find.</w:t>
            </w:r>
          </w:p>
        </w:tc>
      </w:tr>
    </w:tbl>
    <w:p>
      <w:pPr>
        <w:spacing w:after="6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20"/>
        <w:gridCol w:w="9960"/>
      </w:tblGrid>
      <w:tr>
        <w:tc>
          <w:tcPr>
            <w:tcW w:type="dxa" w:w="120"/>
            <w:tcBorders>
              <w:top w:val="single" w:color="595959" w:sz="4"/>
              <w:left w:val="single" w:color="595959" w:sz="4"/>
              <w:bottom w:val="single" w:color="595959" w:sz="4"/>
              <w:right w:val="none"/>
            </w:tcBorders>
            <w:shd w:fill="595959"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60"/>
            <w:tcBorders>
              <w:top w:val="single" w:color="CCCCCC" w:sz="2"/>
              <w:left w:val="none"/>
              <w:bottom w:val="single" w:color="CCCCCC" w:sz="2"/>
              <w:right w:val="single" w:color="CCCCCC" w:sz="2"/>
            </w:tcBorders>
            <w:shd w:fill="F6F0DC" w:color="auto" w:val="clear"/>
            <w:tcMar>
              <w:top w:type="dxa" w:w="60"/>
              <w:left w:type="dxa" w:w="140"/>
              <w:bottom w:type="dxa" w:w="60"/>
              <w:right w:type="dxa" w:w="100"/>
            </w:tcMar>
          </w:tcPr>
          <w:p>
            <w:pPr>
              <w:spacing w:after="20" w:before="0"/>
            </w:pPr>
            <w:r>
              <w:rPr>
                <w:rFonts w:ascii="Aptos" w:cs="Aptos" w:eastAsia="Aptos" w:hAnsi="Aptos"/>
                <w:b/>
                <w:bCs/>
                <w:i w:val="false"/>
                <w:iCs w:val="false"/>
                <w:color w:val="595959"/>
                <w:sz w:val="20"/>
                <w:szCs w:val="20"/>
              </w:rPr>
              <w:t xml:space="preserve">B-07  </w:t>
            </w:r>
            <w:r>
              <w:rPr>
                <w:rFonts w:ascii="Aptos" w:cs="Aptos" w:eastAsia="Aptos" w:hAnsi="Aptos"/>
                <w:b w:val="false"/>
                <w:bCs w:val="false"/>
                <w:i w:val="false"/>
                <w:iCs w:val="false"/>
                <w:color w:val="595959"/>
                <w:sz w:val="18"/>
                <w:szCs w:val="18"/>
              </w:rPr>
              <w:t xml:space="preserve">Vendor management</w:t>
            </w:r>
            <w:r>
              <w:rPr>
                <w:rFonts w:ascii="Aptos" w:cs="Aptos" w:eastAsia="Aptos" w:hAnsi="Aptos"/>
                <w:b w:val="false"/>
                <w:bCs w:val="false"/>
                <w:i w:val="false"/>
                <w:iCs w:val="false"/>
                <w:color w:val="CCCCCC"/>
                <w:sz w:val="18"/>
                <w:szCs w:val="18"/>
              </w:rPr>
              <w:t xml:space="preserve">  —  </w:t>
            </w:r>
            <w:r>
              <w:rPr>
                <w:rFonts w:ascii="Aptos" w:cs="Aptos" w:eastAsia="Aptos" w:hAnsi="Aptos"/>
                <w:b/>
                <w:bCs/>
                <w:i w:val="false"/>
                <w:iCs w:val="false"/>
                <w:color w:val="000000"/>
                <w:sz w:val="22"/>
                <w:szCs w:val="22"/>
              </w:rPr>
              <w:t xml:space="preserve">The MedLink Gulf assessment report was complete but not formally issued at Audit 1 (OBS-003). This was an administrative gap — fieldwork done, report not sent — that was visible in the GRC Repository and caught the auditor's attention.</w:t>
            </w:r>
          </w:p>
          <w:p>
            <w:pPr>
              <w:spacing w:after="0" w:before="0"/>
            </w:pPr>
            <w:r>
              <w:rPr>
                <w:rFonts w:ascii="Aptos" w:cs="Aptos" w:eastAsia="Aptos" w:hAnsi="Aptos"/>
                <w:b/>
                <w:bCs/>
                <w:i w:val="false"/>
                <w:iCs w:val="false"/>
                <w:color w:val="595959"/>
                <w:sz w:val="20"/>
                <w:szCs w:val="20"/>
              </w:rPr>
              <w:t xml:space="preserve">→ </w:t>
            </w:r>
            <w:r>
              <w:rPr>
                <w:rFonts w:ascii="Aptos" w:cs="Aptos" w:eastAsia="Aptos" w:hAnsi="Aptos"/>
                <w:b w:val="false"/>
                <w:bCs w:val="false"/>
                <w:i/>
                <w:iCs/>
                <w:color w:val="595959"/>
                <w:sz w:val="20"/>
                <w:szCs w:val="20"/>
              </w:rPr>
              <w:t xml:space="preserve">Add a mandatory "assessment closure checklist" to the Tier 1 vendor assessment process: fieldwork complete, report issued, report filed in GRC, supplier register updated, security schedule conditions tracked. A checklist with 4 steps costs nothing to implement and prevents an observation that looks worse than it is.</w:t>
            </w:r>
          </w:p>
        </w:tc>
      </w:tr>
    </w:tbl>
    <w:p>
      <w:pPr>
        <w:spacing w:after="60" w:before="0"/>
        <w:jc w:val="left"/>
      </w:pPr>
      <w:r>
        <w:rPr>
          <w:rFonts w:ascii="Aptos" w:cs="Aptos" w:eastAsia="Aptos" w:hAnsi="Aptos"/>
          <w:b w:val="false"/>
          <w:bCs w:val="false"/>
          <w:i w:val="false"/>
          <w:iCs w:val="false"/>
          <w:color w:val="000000"/>
          <w:sz w:val="24"/>
          <w:szCs w:val="24"/>
        </w:rPr>
        <w:t xml:space="preserve"/>
      </w:r>
    </w:p>
    <w:p>
      <w:pPr>
        <w:pStyle w:val="Heading1"/>
        <w:spacing w:after="80" w:before="260"/>
      </w:pPr>
      <w:r>
        <w:rPr>
          <w:rFonts w:ascii="Aptos" w:cs="Aptos" w:eastAsia="Aptos" w:hAnsi="Aptos"/>
          <w:b/>
          <w:bCs/>
          <w:i w:val="false"/>
          <w:iCs w:val="false"/>
          <w:color w:val="000000"/>
          <w:sz w:val="32"/>
          <w:szCs w:val="32"/>
        </w:rPr>
        <w:t xml:space="preserve">What Not to Repeat</w:t>
      </w:r>
    </w:p>
    <w:p>
      <w:pPr>
        <w:spacing w:after="80" w:before="0"/>
        <w:jc w:val="left"/>
      </w:pPr>
      <w:r>
        <w:rPr>
          <w:rFonts w:ascii="Aptos" w:cs="Aptos" w:eastAsia="Aptos" w:hAnsi="Aptos"/>
          <w:b w:val="false"/>
          <w:bCs w:val="false"/>
          <w:i w:val="false"/>
          <w:iCs w:val="false"/>
          <w:color w:val="000000"/>
          <w:sz w:val="24"/>
          <w:szCs w:val="24"/>
        </w:rPr>
        <w:t xml:space="preserve">These are the specific decisions or omissions that created rework. Avoid them in future programmes.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 / omission</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Consequence and alternative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OPS-002 completed without independent retrieval verification from the start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NCR-001 at Audit 1 + S2-C002 at Stage 1. Alternative: add a retrieval verification step to OPS-002 before the first FI entry is filed.</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Register designed as an inventory, not an action-generating system</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NCR-002 at Audit 1 — AZ-500 lapsed 16 months undetected. Alternative: every register entry must have a named owner, a trigger date, and a governance visibility mechanism before the first entry is created.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Emergency change process briefed to engineers in general, without a cross-reference at the point where it would be needed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NCR-003 at Audit 1 — engineer didn't know the emergency track existed during a live incident. Alternative: any process a person will need under time pressure must be cross-referenced at the point of need, not only in the procedure document.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Tabletop exercise scheduled after the internal audit programme was written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audit coverage of tabletop findings. Schedule tabletop first; use findings to sharpen the audit programme.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started Month 5 rather than Month 1</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Only 2 simulation cycles available. 3 cycles in 14 months is feasible and produces a stronger trend for certification evidence.</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assessment report not formally issued before the internal audit</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OBS-003 at Audit 1 — looks like an operational gap when it was an administrative oversight. Implement an assessment closure checklist.</w:t>
            </w:r>
          </w:p>
        </w:tc>
      </w:tr>
    </w:tbl>
    <w:p>
      <w:pPr>
        <w:spacing w:after="40" w:before="120"/>
        <w:jc w:val="left"/>
      </w:pPr>
      <w:r>
        <w:rPr>
          <w:rFonts w:ascii="Aptos" w:cs="Aptos" w:eastAsia="Aptos" w:hAnsi="Aptos"/>
          <w:b w:val="false"/>
          <w:bCs w:val="false"/>
          <w:i w:val="false"/>
          <w:iCs w:val="false"/>
          <w:color w:val="000000"/>
          <w:sz w:val="24"/>
          <w:szCs w:val="24"/>
        </w:rPr>
        <w:t xml:space="preserve"/>
      </w:r>
    </w:p>
    <w:p>
      <w:pPr>
        <w:pBdr>
          <w:bottom w:val="single" w:color="1F3864" w:sz="4"/>
        </w:pBdr>
        <w:spacing w:after="0" w:before="0"/>
      </w:pPr>
      <w:r>
        <w:rPr>
          <w:rFonts w:ascii="Aptos" w:cs="Aptos" w:eastAsia="Aptos" w:hAnsi="Aptos"/>
          <w:b w:val="false"/>
          <w:bCs w:val="false"/>
          <w:i w:val="false"/>
          <w:iCs w:val="false"/>
          <w:color w:val="000000"/>
          <w:sz w:val="4"/>
          <w:szCs w:val="4"/>
        </w:rPr>
        <w:t xml:space="preserve"> </w:t>
      </w:r>
    </w:p>
    <w:p>
      <w:pPr>
        <w:spacing w:after="40" w:before="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MediSync</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April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MediSync</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April 2027</w:t>
            </w:r>
          </w:p>
        </w:tc>
      </w:tr>
    </w:tbl>
    <w:p>
      <w:pPr>
        <w:spacing w:after="120" w:before="60"/>
        <w:jc w:val="left"/>
      </w:pPr>
      <w:r>
        <w:rPr>
          <w:rFonts w:ascii="Aptos" w:cs="Aptos" w:eastAsia="Aptos" w:hAnsi="Aptos"/>
          <w:b w:val="false"/>
          <w:bCs w:val="false"/>
          <w:i/>
          <w:iCs/>
          <w:color w:val="595959"/>
          <w:sz w:val="24"/>
          <w:szCs w:val="24"/>
        </w:rPr>
        <w:t xml:space="preserve">ISMS-CRT-007 · Retained permanently per ISMS-SUP-010.</w:t>
      </w:r>
    </w:p>
    <w:sectPr>
      <w:headerReference w:type="default" r:id="rId7"/>
      <w:footerReference w:type="default" r:id="rId8"/>
      <w:pgSz w:w="12240" w:h="15840" w:orient="portrait"/>
      <w:pgMar w:top="1260" w:right="1080" w:bottom="126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MediSync Technologies Pvt. Ltd.  ·  Confidential  ·  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595959"/>
        <w:sz w:val="18"/>
        <w:szCs w:val="18"/>
      </w:rPr>
      <w:t xml:space="preserve">ISMS-CRT-007  |  Lessons Learned &amp; Recommendations  |  Project HealthSec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1F3864"/>
      <w:sz w:val="32"/>
      <w:szCs w:val="32"/>
    </w:rPr>
  </w:style>
  <w:style w:type="paragraph" w:styleId="Heading2">
    <w:name w:val="Heading 2"/>
    <w:basedOn w:val="Normal"/>
    <w:next w:val="Normal"/>
    <w:qFormat/>
    <w:rPr>
      <w:rFonts w:ascii="Aptos" w:cs="Aptos" w:eastAsia="Aptos" w:hAnsi="Aptos"/>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2026-09-07T10:48:32.514Z</dcterms:created>
  <dcterms:modified xsi:type="dcterms:W3CDTF">2026-09-07T10:48:32.529Z</dcterms:modified>
</cp:coreProperties>
</file>

<file path=docProps/custom.xml><?xml version="1.0" encoding="utf-8"?>
<Properties xmlns="http://schemas.openxmlformats.org/officeDocument/2006/custom-properties" xmlns:vt="http://schemas.openxmlformats.org/officeDocument/2006/docPropsVTypes"/>
</file>