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VENDOR / SUPPLIER SECURITY ASSESSMENT REPORTS</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 Supplier Security Assessment Reports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ISMS-OPS-003</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8.1; Annex A 5.19 — Information Security in Supplier Relationships; A5.20 — Addressing IS within Supplier Agreements; A5.22 — Monitoring and Review of Supplier Services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 (Clause 8), Item 3 of 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Assessment Baseline (October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October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Assessments Completed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DR Services (Tier 1) — September 2026; SentinelWatch MSSP (Tier 1) — September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In Progress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Integrators (Tier 1) — October 2026; completion November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Framework</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ISMS-OPS-003 Section 1 — Assessment methodology and questionnaire structure</w:t>
            </w:r>
          </w:p>
        </w:tc>
      </w:tr>
    </w:tbl>
    <w:p>
      <w:pPr>
        <w:spacing w:after="200" w:before="140"/>
        <w:jc w:val="left"/>
      </w:pPr>
      <w:r>
        <w:rPr>
          <w:rFonts w:ascii="Aptos" w:cs="Aptos" w:eastAsia="Aptos" w:hAnsi="Aptos"/>
          <w:b w:val="false"/>
          <w:bCs w:val="false"/>
          <w:i/>
          <w:iCs/>
          <w:color w:val="000000"/>
          <w:sz w:val="24"/>
          <w:szCs w:val="24"/>
        </w:rPr>
        <w:t xml:space="preserve">This document contains: (1) the MediSync vendor security assessment framework — the methodology and questionnaire used for all Tier 1 and Tier 2 assessments; and (2) the completed assessment reports for the two Tier 1 vendors assessed to date. MedLink Gulf Integrators assessment is in progress and will be appended as Appendix B when complete.</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Aug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framework and questionnaire drafted. VaultArchive and SentinelWatch assessments initiated.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and SentinelWatch assessment reports drafted from returned questionnaires and documentary review.</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approved both completed reports. MedLink Gulf assessment in progress.</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Section 1: Vendor Security Assessment Framework</w:t>
      </w:r>
    </w:p>
    <w:p>
      <w:pPr>
        <w:spacing w:after="140" w:before="0"/>
        <w:jc w:val="left"/>
      </w:pPr>
      <w:r>
        <w:rPr>
          <w:rFonts w:ascii="Aptos" w:cs="Aptos" w:eastAsia="Aptos" w:hAnsi="Aptos"/>
          <w:b w:val="false"/>
          <w:bCs w:val="false"/>
          <w:i w:val="false"/>
          <w:iCs w:val="false"/>
          <w:color w:val="000000"/>
          <w:sz w:val="24"/>
          <w:szCs w:val="24"/>
        </w:rPr>
        <w:t xml:space="preserve">This section defines the methodology MediSync uses for all vendor security assessments. It applies to Tier 1 and Tier 2 vendors as defined in ISMS-OPS-001 Domain 10. The framework is used consistently across all assessments so that results are comparable and the ISMS-OPS-004 Supplier Register reflects a consistent risk posture.</w:t>
      </w:r>
    </w:p>
    <w:p>
      <w:pPr>
        <w:pStyle w:val="Heading2"/>
        <w:spacing w:after="100" w:before="200"/>
      </w:pPr>
      <w:r>
        <w:rPr>
          <w:rFonts w:ascii="Aptos" w:cs="Aptos" w:eastAsia="Aptos" w:hAnsi="Aptos"/>
          <w:b/>
          <w:bCs/>
          <w:i w:val="false"/>
          <w:iCs w:val="false"/>
          <w:color w:val="000000"/>
          <w:sz w:val="32"/>
          <w:szCs w:val="32"/>
        </w:rPr>
        <w:t xml:space="preserve">1.1 Assessment Triggers</w:t>
      </w:r>
    </w:p>
    <w:p>
      <w:pPr>
        <w:spacing w:after="140" w:before="0"/>
        <w:jc w:val="left"/>
      </w:pPr>
      <w:r>
        <w:rPr>
          <w:rFonts w:ascii="Aptos" w:cs="Aptos" w:eastAsia="Aptos" w:hAnsi="Aptos"/>
          <w:b w:val="false"/>
          <w:bCs w:val="false"/>
          <w:i w:val="false"/>
          <w:iCs w:val="false"/>
          <w:color w:val="000000"/>
          <w:sz w:val="24"/>
          <w:szCs w:val="24"/>
        </w:rPr>
        <w:t xml:space="preserve">A vendor security assessment is required: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At onboarding: before any Tier 1 or Tier 2 vendor is granted access to MediSync systems or data.</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Annual reassessment: Tier 1 vendors assessed annually. Tier 2 vendors every 2 years.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Triggered reassessment: any material change in the vendor's service scope, ownership structure, sub-processor chain, or publicly disclosed security incident.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Contract renewal: Tier 1 assessment results reviewed before any contract renewal.</w:t>
      </w:r>
    </w:p>
    <w:p>
      <w:pPr>
        <w:pStyle w:val="Heading2"/>
        <w:spacing w:after="100" w:before="200"/>
      </w:pPr>
      <w:r>
        <w:rPr>
          <w:rFonts w:ascii="Aptos" w:cs="Aptos" w:eastAsia="Aptos" w:hAnsi="Aptos"/>
          <w:b/>
          <w:bCs/>
          <w:i w:val="false"/>
          <w:iCs w:val="false"/>
          <w:color w:val="000000"/>
          <w:sz w:val="32"/>
          <w:szCs w:val="32"/>
        </w:rPr>
        <w:t xml:space="preserve">1.2 Assessment Method</w:t>
      </w:r>
    </w:p>
    <w:p>
      <w:pPr>
        <w:spacing w:after="140" w:before="0"/>
        <w:jc w:val="left"/>
      </w:pPr>
      <w:r>
        <w:rPr>
          <w:rFonts w:ascii="Aptos" w:cs="Aptos" w:eastAsia="Aptos" w:hAnsi="Aptos"/>
          <w:b w:val="false"/>
          <w:bCs w:val="false"/>
          <w:i w:val="false"/>
          <w:iCs w:val="false"/>
          <w:color w:val="000000"/>
          <w:sz w:val="24"/>
          <w:szCs w:val="24"/>
        </w:rPr>
        <w:t xml:space="preserve">The assessment uses three inputs for Tier 1 vendors, two for Tier 2:</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input</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Tier 1 / Tier 2 applicability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questionnaire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Both tiers. Tier 1: full 60-question questionnaire covering all six assessment domains. Tier 2: shortened 30-question questionnaire covering governance, access control, and data handling only.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Documentary review</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only. Review of: current certifications (ISO 27001, SOC 2, PCI-DSS, etc.), most recent penetration test summary, data processing agreement, and evidence of sub-processor security controls.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Video or on-site walkthrough</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only, for vendors with physical access to data or co-managed security responsibilities (VaultArchive, SentinelWatch). Confirms documentary evidence against actual practice.</w:t>
            </w:r>
          </w:p>
        </w:tc>
      </w:tr>
    </w:tbl>
    <w:p>
      <w:pPr>
        <w:pStyle w:val="Heading2"/>
        <w:spacing w:after="100" w:before="200"/>
      </w:pPr>
      <w:r>
        <w:rPr>
          <w:rFonts w:ascii="Aptos" w:cs="Aptos" w:eastAsia="Aptos" w:hAnsi="Aptos"/>
          <w:b/>
          <w:bCs/>
          <w:i w:val="false"/>
          <w:iCs w:val="false"/>
          <w:color w:val="000000"/>
          <w:sz w:val="32"/>
          <w:szCs w:val="32"/>
        </w:rPr>
        <w:t xml:space="preserve">1.3 Assessment Domains (Tier 1 Questionnaire)</w:t>
      </w:r>
    </w:p>
    <w:p>
      <w:pPr>
        <w:spacing w:after="140" w:before="0"/>
        <w:jc w:val="left"/>
      </w:pPr>
      <w:r>
        <w:rPr>
          <w:rFonts w:ascii="Aptos" w:cs="Aptos" w:eastAsia="Aptos" w:hAnsi="Aptos"/>
          <w:b w:val="false"/>
          <w:bCs w:val="false"/>
          <w:i w:val="false"/>
          <w:iCs w:val="false"/>
          <w:color w:val="000000"/>
          <w:sz w:val="24"/>
          <w:szCs w:val="24"/>
        </w:rPr>
        <w:t xml:space="preserve">The Tier 1 assessment covers six domains. Each domain is scored separately and produces an overall risk rating:</w:t>
      </w:r>
    </w:p>
    <w:tbl>
      <w:tblPr>
        <w:tblW w:type="dxa" w:w="1010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200"/>
        <w:gridCol w:w="2200"/>
        <w:gridCol w:w="400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Domain</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Title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Maximum score</w:t>
            </w:r>
          </w:p>
        </w:tc>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focus</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Governance &amp; Certification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points</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vendor have a documented security programme? Is it externally certified or audited?</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D-B</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 &amp; Identity Management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points</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does the vendor control access to MediSync data? Is MFA enforced? Are access reviews conducted?</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D-C</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Handling &amp; Encryption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points</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is MediSync data stored, transmitted, and eventually deleted? Is encryption in place and properly managed?</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D-D</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Response &amp; Notification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points</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vendor have an IR plan? What are their notification obligations and timelines to MediSync?</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Sub-processor &amp; Supply Chain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points</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Who are the vendor's sub-processors? Have they been assessed? Can MediSync object to sub-processor changes?</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D-F</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Continuity &amp; Recovery</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points</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vendor have tested BCDR capability? What RTO/RPO can they guarantee for MediSync's data?</w:t>
            </w:r>
          </w:p>
        </w:tc>
      </w:tr>
    </w:tbl>
    <w:p>
      <w:pPr>
        <w:pStyle w:val="Heading2"/>
        <w:spacing w:after="100" w:before="200"/>
      </w:pPr>
      <w:r>
        <w:rPr>
          <w:rFonts w:ascii="Aptos" w:cs="Aptos" w:eastAsia="Aptos" w:hAnsi="Aptos"/>
          <w:b/>
          <w:bCs/>
          <w:i w:val="false"/>
          <w:iCs w:val="false"/>
          <w:color w:val="000000"/>
          <w:sz w:val="32"/>
          <w:szCs w:val="32"/>
        </w:rPr>
        <w:t xml:space="preserve">1.4 Overall Risk Rating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5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Overall score (out of 100)</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rating</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Required action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85–100</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risk — Acceptable</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Proceed. Annual review. No additional conditions required.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70–84</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 risk — Acceptable with conditions</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Proceed. Specific conditions agreed and documented in security schedule. Conditions reviewed at 6-month mark.</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55–69</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 risk — Conditional</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 not proceed until conditions are met. Re-assess after remediation. Escalate to CISO before proceeding.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Below 55</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 risk — Do not proceed</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engagement cannot proceed. Alternatives to be identified. CISO and COO notified.</w:t>
            </w:r>
          </w:p>
        </w:tc>
      </w:tr>
    </w:tbl>
    <w:p>
      <w:pPr>
        <w:pStyle w:val="Heading2"/>
        <w:spacing w:after="100" w:before="200"/>
      </w:pPr>
      <w:r>
        <w:rPr>
          <w:rFonts w:ascii="Aptos" w:cs="Aptos" w:eastAsia="Aptos" w:hAnsi="Aptos"/>
          <w:b/>
          <w:bCs/>
          <w:i w:val="false"/>
          <w:iCs w:val="false"/>
          <w:color w:val="000000"/>
          <w:sz w:val="32"/>
          <w:szCs w:val="32"/>
        </w:rPr>
        <w:t xml:space="preserve">1.5 Assessment Output</w:t>
      </w:r>
    </w:p>
    <w:p>
      <w:pPr>
        <w:spacing w:after="140" w:before="0"/>
        <w:jc w:val="left"/>
      </w:pPr>
      <w:r>
        <w:rPr>
          <w:rFonts w:ascii="Aptos" w:cs="Aptos" w:eastAsia="Aptos" w:hAnsi="Aptos"/>
          <w:b w:val="false"/>
          <w:bCs w:val="false"/>
          <w:i w:val="false"/>
          <w:iCs w:val="false"/>
          <w:color w:val="000000"/>
          <w:sz w:val="24"/>
          <w:szCs w:val="24"/>
        </w:rPr>
        <w:t xml:space="preserve">Each completed assessment produces: (1) this report document (filed in ISMS-OPS-003); (2) an entry in ISMS-OPS-004 (Supplier Register); and (3) a security schedule for inclusion in the commercial agreement (if not already in place). The security schedule is mandatory for all Tier 1 vendors.</w:t>
      </w:r>
    </w:p>
    <w:p>
      <w:r>
        <w:br w:type="page"/>
      </w:r>
    </w:p>
    <w:p>
      <w:pPr>
        <w:pStyle w:val="Heading1"/>
        <w:spacing w:after="120" w:before="300"/>
      </w:pPr>
      <w:r>
        <w:rPr>
          <w:rFonts w:ascii="Aptos" w:cs="Aptos" w:eastAsia="Aptos" w:hAnsi="Aptos"/>
          <w:b/>
          <w:bCs/>
          <w:i w:val="false"/>
          <w:iCs w:val="false"/>
          <w:color w:val="000000"/>
          <w:sz w:val="36"/>
          <w:szCs w:val="36"/>
        </w:rPr>
        <w:t xml:space="preserve">Section 2: VaultArchive DR Services — Tier 1 Assessment Report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name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DR Services (all vendor names in this programme are fictional, created for simulation purposes)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tier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 critical dependency and access to Restricted-classified data</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justification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holds encrypted backup archives for all MediSync customers in both India and UAE regions. They have more privileged access to MediSync customer data than any other third party. A VaultArchive compromise would directly affect all 180+ customers.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September 2026 (initial Tier 1 assessment)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method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questionnaire (60 questions) + documentary review + video walkthrough (60 minutes)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Assessors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Sana Al Farsi (Head of Cloud Infrastructure); Consulting Team (Risk &amp; Controls Consultant)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result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risk — Acceptable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score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 / 100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signed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October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assessment due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September 2027 (annual)</w:t>
            </w:r>
          </w:p>
        </w:tc>
      </w:tr>
    </w:tbl>
    <w:p>
      <w:pPr>
        <w:pStyle w:val="Heading2"/>
        <w:spacing w:after="100" w:before="200"/>
      </w:pPr>
      <w:r>
        <w:rPr>
          <w:rFonts w:ascii="Aptos" w:cs="Aptos" w:eastAsia="Aptos" w:hAnsi="Aptos"/>
          <w:b/>
          <w:bCs/>
          <w:i w:val="false"/>
          <w:iCs w:val="false"/>
          <w:color w:val="000000"/>
          <w:sz w:val="32"/>
          <w:szCs w:val="32"/>
        </w:rPr>
        <w:t xml:space="preserve">2.1 Vendor Overview</w:t>
      </w:r>
    </w:p>
    <w:p>
      <w:pPr>
        <w:spacing w:after="140" w:before="0"/>
        <w:jc w:val="left"/>
      </w:pPr>
      <w:r>
        <w:rPr>
          <w:rFonts w:ascii="Aptos" w:cs="Aptos" w:eastAsia="Aptos" w:hAnsi="Aptos"/>
          <w:b w:val="false"/>
          <w:bCs w:val="false"/>
          <w:i w:val="false"/>
          <w:iCs w:val="false"/>
          <w:color w:val="000000"/>
          <w:sz w:val="24"/>
          <w:szCs w:val="24"/>
        </w:rPr>
        <w:t xml:space="preserve">VaultArchive DR Services provides backup infrastructure and disaster recovery support for MediSync. Specifically, VaultArchive manages the off-site backup archive storage for all MediSync customer data in both AWS ap-south-1 (India) and Azure UAE North (UAE). MediSync's production backup jobs run to AWS S3 and Azure Blob Storage, with VaultArchive providing the management layer for archive lifecycle, immutability settings, and recovery orchestration.</w:t>
      </w:r>
    </w:p>
    <w:p>
      <w:pPr>
        <w:spacing w:after="140" w:before="0"/>
        <w:jc w:val="left"/>
      </w:pPr>
      <w:r>
        <w:rPr>
          <w:rFonts w:ascii="Aptos" w:cs="Aptos" w:eastAsia="Aptos" w:hAnsi="Aptos"/>
          <w:b w:val="false"/>
          <w:bCs w:val="false"/>
          <w:i w:val="false"/>
          <w:iCs w:val="false"/>
          <w:color w:val="000000"/>
          <w:sz w:val="24"/>
          <w:szCs w:val="24"/>
        </w:rPr>
        <w:t xml:space="preserve">VaultArchive does not hold unencrypted data at any point — all data is encrypted before transmission to the backup layer and remains encrypted at rest in the archive. VaultArchive's systems manage the encrypted objects but do not have access to the encryption keys, which remain in MediSync's AWS KMS and Azure Key Vault environments.</w:t>
      </w:r>
    </w:p>
    <w:p>
      <w:pPr>
        <w:pStyle w:val="Heading2"/>
        <w:spacing w:after="100" w:before="200"/>
      </w:pPr>
      <w:r>
        <w:rPr>
          <w:rFonts w:ascii="Aptos" w:cs="Aptos" w:eastAsia="Aptos" w:hAnsi="Aptos"/>
          <w:b/>
          <w:bCs/>
          <w:i w:val="false"/>
          <w:iCs w:val="false"/>
          <w:color w:val="000000"/>
          <w:sz w:val="32"/>
          <w:szCs w:val="32"/>
        </w:rPr>
        <w:t xml:space="preserve">2.2 Assessment Findings by Domain</w:t>
      </w:r>
    </w:p>
    <w:p>
      <w:pPr>
        <w:pStyle w:val="Heading3"/>
        <w:spacing w:after="80" w:before="160"/>
      </w:pPr>
      <w:r>
        <w:rPr>
          <w:rFonts w:ascii="Aptos" w:cs="Aptos" w:eastAsia="Aptos" w:hAnsi="Aptos"/>
          <w:b/>
          <w:bCs/>
          <w:i w:val="false"/>
          <w:iCs w:val="false"/>
          <w:color w:val="000000"/>
          <w:sz w:val="28"/>
          <w:szCs w:val="28"/>
        </w:rPr>
        <w:t xml:space="preserve">Domain A — Security Governance &amp; Certification (Score: 23/25)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Certification</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holds ISO 27001:2022 certification issued by an UKAS-accredited certification body. Certificate is current, with next surveillance audit scheduled Q1 2027. Certificate copy provided and verified.</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programme</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Documented ISMS in place. CISO appointed. Annual penetration test (most recent: July 2026 — summary shared under NDA). Security policy suite reviewed — consistent and comprehensive.</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identified</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programme exists but the most recent report (2025) had two minor nonconformities relating to change management documentation. Both have documented corrective actions with completion evidence. No major nonconformities.</w:t>
            </w:r>
          </w:p>
        </w:tc>
      </w:tr>
    </w:tbl>
    <w:p>
      <w:pPr>
        <w:pStyle w:val="Heading3"/>
        <w:spacing w:after="80" w:before="160"/>
      </w:pPr>
      <w:r>
        <w:rPr>
          <w:rFonts w:ascii="Aptos" w:cs="Aptos" w:eastAsia="Aptos" w:hAnsi="Aptos"/>
          <w:b/>
          <w:bCs/>
          <w:i w:val="false"/>
          <w:iCs w:val="false"/>
          <w:color w:val="000000"/>
          <w:sz w:val="28"/>
          <w:szCs w:val="28"/>
        </w:rPr>
        <w:t xml:space="preserve">Domain B — Access Control &amp; Identity Management (Score: 19/20)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enforcement</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enforced for all VaultArchive staff with access to MediSync's backup environment. Confirmed in the video walkthrough — assessors observed the MFA prompt during the walkthrough session.</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controls</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MediSync's backup environment is isolated from other VaultArchive customers. Confirmed: no cross-customer access at the storage layer. MediSync's backup objects are in a dedicated S3 bucket prefix and Azure container with IAM policies scoped exclusively to MediSync.</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reviews</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access reviews confirmed. Most recent review: August 2026. VaultArchive staff with MediSync environment access: 4 named individuals (operations team). Review records provided.</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gap</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One of the four named individuals last accessed the MediSync environment more than 90 days ago with no documented business need. VaultArchive committed to reviewing this account within 5 business days of the assessment. Confirmation received October 2026.</w:t>
            </w:r>
          </w:p>
        </w:tc>
      </w:tr>
    </w:tbl>
    <w:p>
      <w:pPr>
        <w:pStyle w:val="Heading3"/>
        <w:spacing w:after="80" w:before="160"/>
      </w:pPr>
      <w:r>
        <w:rPr>
          <w:rFonts w:ascii="Aptos" w:cs="Aptos" w:eastAsia="Aptos" w:hAnsi="Aptos"/>
          <w:b/>
          <w:bCs/>
          <w:i w:val="false"/>
          <w:iCs w:val="false"/>
          <w:color w:val="000000"/>
          <w:sz w:val="28"/>
          <w:szCs w:val="28"/>
        </w:rPr>
        <w:t xml:space="preserve">Domain C — Data Handling &amp; Encryption (Score: 20/20)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MediSync backup data encrypted at the application layer before reaching VaultArchive. VaultArchive additionally applies AWS SSE-KMS and Azure SSE at the storage layer. Double-encrypted at rest.</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immutability</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S3 Object Lock (Compliance mode) confirmed enabled on MediSync's backup buckets. Azure Immutable Blob Storage confirmed enabled on MediSync's Azure containers. VaultArchive cannot delete or overwrite objects within the defined retention window — confirmed in the video walkthrough by demonstrating the Object Lock settings in the console.</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residency</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backup data confirmed to remain in AWS ap-south-1. UAE backup data confirmed to remain in Azure UAE North. VaultArchive does not replicate MediSync data across regions.</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deletion</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Deletion process on contract termination confirmed: MediSync data deleted within 30 days of contract termination with certificate of destruction. Process tested in the assessment (VaultArchive demonstrated the deletion workflow against a test object).</w:t>
            </w:r>
          </w:p>
        </w:tc>
      </w:tr>
    </w:tbl>
    <w:p>
      <w:pPr>
        <w:pStyle w:val="Heading3"/>
        <w:spacing w:after="80" w:before="160"/>
      </w:pPr>
      <w:r>
        <w:rPr>
          <w:rFonts w:ascii="Aptos" w:cs="Aptos" w:eastAsia="Aptos" w:hAnsi="Aptos"/>
          <w:b/>
          <w:bCs/>
          <w:i w:val="false"/>
          <w:iCs w:val="false"/>
          <w:color w:val="000000"/>
          <w:sz w:val="28"/>
          <w:szCs w:val="28"/>
        </w:rPr>
        <w:t xml:space="preserve">Domain D — Incident Response &amp; Notification (Score: 12/15)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IR plan</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Documented incident response plan confirmed. Covers data breach, ransomware, and service unavailability scenarios. Most recent IR exercise: June 2026.</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Notification timeline</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includes a 24-hour notification obligation to MediSync on any confirmed or suspected incident affecting MediSync data. Contractually binding.</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 CERT-In specificity</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VaultArchive's IR plan does not explicitly address CERT-In 6-hour notification requirements, because VaultArchive is not itself subject to CERT-In (they are not an Indian company). However, their notification to MediSync within 24 hours gives MediSync sufficient time to make its own CERT-In notification. This is noted as a gap with no required remediation — the 24-hour commitment covers MediSync's operational need.</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Tabletop exercise</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confirmed willingness to participate in MediSync's DR test exercise (O-08), including simulating a backup recovery from the archive. Participation confirmed for the October 2026 DR test.</w:t>
            </w:r>
          </w:p>
        </w:tc>
      </w:tr>
    </w:tbl>
    <w:p>
      <w:pPr>
        <w:pStyle w:val="Heading3"/>
        <w:spacing w:after="80" w:before="160"/>
      </w:pPr>
      <w:r>
        <w:rPr>
          <w:rFonts w:ascii="Aptos" w:cs="Aptos" w:eastAsia="Aptos" w:hAnsi="Aptos"/>
          <w:b/>
          <w:bCs/>
          <w:i w:val="false"/>
          <w:iCs w:val="false"/>
          <w:color w:val="000000"/>
          <w:sz w:val="28"/>
          <w:szCs w:val="28"/>
        </w:rPr>
        <w:t xml:space="preserve">Domain E — Sub-processor &amp; Supply Chain (Score: 9/10)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Sub-processors</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uses two sub-processors: AWS (hosting infrastructure) and their internal monitoring tool provider. Both named in the DPA. AWS is an acceptable sub-processor — ISO 27001 and SOC 2 Type II certified.</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Sub-processor change control</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includes a requirement that MediSync must be notified 30 days in advance of any sub-processor change, with the right to object. Contractually binding.</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gap</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tool provider is a smaller SaaS vendor. VaultArchive has conducted a security assessment of this vendor but the assessment is 18 months old. VaultArchive committed to reassessing within 6 months.</w:t>
            </w:r>
          </w:p>
        </w:tc>
      </w:tr>
    </w:tbl>
    <w:p>
      <w:pPr>
        <w:pStyle w:val="Heading3"/>
        <w:spacing w:after="80" w:before="160"/>
      </w:pPr>
      <w:r>
        <w:rPr>
          <w:rFonts w:ascii="Aptos" w:cs="Aptos" w:eastAsia="Aptos" w:hAnsi="Aptos"/>
          <w:b/>
          <w:bCs/>
          <w:i w:val="false"/>
          <w:iCs w:val="false"/>
          <w:color w:val="000000"/>
          <w:sz w:val="28"/>
          <w:szCs w:val="28"/>
        </w:rPr>
        <w:t xml:space="preserve">Domain F — Business Continuity &amp; Recovery (Score: 5/10)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BCDR plan</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Documented BCDR plan confirmed for VaultArchive's own operations. Covers loss of a cloud availability zone.</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RTO/RPO</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VaultArchive's own service RTO: 4 hours. For MediSync's backup archives: recovery initiation within 2 hours of request. Documented in the security schedule.</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 untested recovery</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VaultArchive's last full DR test of their own infrastructure was 14 months ago (August 2025). Their standard is annual. They are overdue. This is noted as a gap. VaultArchive committed to completing a full DR test by December 2026. Completion will be confirmed before the next annual assessment.</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Mitigation</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gap in VaultArchive's internal DR testing does not directly affect MediSync — MediSync tests its own end-to-end recovery separately (O-08). VaultArchive's backup archive data is the source; MediSync's recovery test validates that the data is recoverable regardless of VaultArchive's internal DR status.</w:t>
            </w:r>
          </w:p>
        </w:tc>
      </w:tr>
    </w:tbl>
    <w:p>
      <w:pPr>
        <w:pStyle w:val="Heading2"/>
        <w:spacing w:after="100" w:before="200"/>
      </w:pPr>
      <w:r>
        <w:rPr>
          <w:rFonts w:ascii="Aptos" w:cs="Aptos" w:eastAsia="Aptos" w:hAnsi="Aptos"/>
          <w:b/>
          <w:bCs/>
          <w:i w:val="false"/>
          <w:iCs w:val="false"/>
          <w:color w:val="000000"/>
          <w:sz w:val="32"/>
          <w:szCs w:val="32"/>
        </w:rPr>
        <w:t xml:space="preserve">2.3 Overall Assessment Conclusion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conclusion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score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 / 100 — Low risk — Acceptable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certified (current). Strongest security posture of any MediSync vendor.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strengths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immutability confirmed (S3 Object Lock + Azure Immutable Blob). Data residency confirmed. Double-encryption at rest. MFA enforced. Customer environment isolation confirmed.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gaps identified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internal DR test overdue (14 months). Monitoring tool sub-processor assessment overdue (18 months). One stale privileged account (remediated post-assessment).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decision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Accepted — no conditions that block proceeding. Three remediation commitments tracked to completion.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Signed October 2026. Includes: 24-hour breach notification, annual assessment right, sub-processor change 30-day notice, 30-day post-termination deletion with certificate of destruction.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assessment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September 2027 (annual). Earlier if material change in service, ownership, or a security incident involving MediSync data.</w:t>
            </w:r>
          </w:p>
        </w:tc>
      </w:tr>
    </w:tbl>
    <w:p>
      <w:pPr>
        <w:spacing w:after="60" w:before="80"/>
      </w:pPr>
      <w:r>
        <w:rPr>
          <w:rFonts w:ascii="Aptos" w:cs="Aptos" w:eastAsia="Aptos" w:hAnsi="Aptos"/>
          <w:b/>
          <w:bCs/>
          <w:i w:val="false"/>
          <w:iCs w:val="false"/>
          <w:color w:val="000000"/>
          <w:sz w:val="24"/>
          <w:szCs w:val="24"/>
        </w:rPr>
        <w:t xml:space="preserve">Assessed by: </w:t>
      </w:r>
      <w:r>
        <w:rPr>
          <w:rFonts w:ascii="Aptos" w:cs="Aptos" w:eastAsia="Aptos" w:hAnsi="Aptos"/>
          <w:b w:val="false"/>
          <w:bCs w:val="false"/>
          <w:i w:val="false"/>
          <w:iCs w:val="false"/>
          <w:color w:val="000000"/>
          <w:sz w:val="24"/>
          <w:szCs w:val="24"/>
        </w:rPr>
        <w:t xml:space="preserve">Meera Iyer (ISMS Manager), Sana Al Farsi (Head of Cloud Infrastructure)</w:t>
      </w:r>
      <w:r>
        <w:rPr>
          <w:rFonts w:ascii="Aptos" w:cs="Aptos" w:eastAsia="Aptos" w:hAnsi="Aptos"/>
          <w:b w:val="false"/>
          <w:bCs w:val="false"/>
          <w:i/>
          <w:iCs/>
          <w:color w:val="000000"/>
          <w:sz w:val="24"/>
          <w:szCs w:val="24"/>
        </w:rPr>
        <w:t xml:space="preserve">   Date: September 2026  |  Approved by: </w:t>
      </w:r>
      <w:r>
        <w:rPr>
          <w:rFonts w:ascii="Aptos" w:cs="Aptos" w:eastAsia="Aptos" w:hAnsi="Aptos"/>
          <w:b w:val="false"/>
          <w:bCs w:val="false"/>
          <w:i w:val="false"/>
          <w:iCs w:val="false"/>
          <w:color w:val="000000"/>
          <w:sz w:val="24"/>
          <w:szCs w:val="24"/>
        </w:rPr>
        <w:t xml:space="preserve">Vikram Sundaram (CISO)</w:t>
      </w:r>
      <w:r>
        <w:rPr>
          <w:rFonts w:ascii="Aptos" w:cs="Aptos" w:eastAsia="Aptos" w:hAnsi="Aptos"/>
          <w:b w:val="false"/>
          <w:bCs w:val="false"/>
          <w:i/>
          <w:iCs/>
          <w:color w:val="000000"/>
          <w:sz w:val="24"/>
          <w:szCs w:val="24"/>
        </w:rPr>
        <w:t xml:space="preserve">   Date: October 2026</w:t>
      </w:r>
    </w:p>
    <w:p>
      <w:r>
        <w:br w:type="page"/>
      </w:r>
    </w:p>
    <w:p>
      <w:pPr>
        <w:pStyle w:val="Heading1"/>
        <w:spacing w:after="120" w:before="300"/>
      </w:pPr>
      <w:r>
        <w:rPr>
          <w:rFonts w:ascii="Aptos" w:cs="Aptos" w:eastAsia="Aptos" w:hAnsi="Aptos"/>
          <w:b/>
          <w:bCs/>
          <w:i w:val="false"/>
          <w:iCs w:val="false"/>
          <w:color w:val="000000"/>
          <w:sz w:val="36"/>
          <w:szCs w:val="36"/>
        </w:rPr>
        <w:t xml:space="preserve">Section 3: SentinelWatch MSSP — Tier 1 Assessment Report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name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Managed Security Services (all vendor names in this programme are fictional, created for simulation purposes)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tier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 co-management of security controls and access to all SIEM data</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justification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provides 24/7 SOC co-management and has read access to all MediSync Microsoft Sentinel data, including security alerts, log data, and SIEM configurations. A SentinelWatch insider incident could compromise MediSync's full monitoring capability.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September 2026 (initial Tier 1 assessment)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method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questionnaire (60 questions) + documentary review + video walkthrough (45 minutes)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Assessors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Neha Choudhury (SOC Manager); Consulting Team (Risk &amp; Controls Consultant)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result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risk — Acceptable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score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82 / 100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signed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October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assessment due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September 2027 (annual)</w:t>
            </w:r>
          </w:p>
        </w:tc>
      </w:tr>
    </w:tbl>
    <w:p>
      <w:pPr>
        <w:pStyle w:val="Heading2"/>
        <w:spacing w:after="100" w:before="200"/>
      </w:pPr>
      <w:r>
        <w:rPr>
          <w:rFonts w:ascii="Aptos" w:cs="Aptos" w:eastAsia="Aptos" w:hAnsi="Aptos"/>
          <w:b/>
          <w:bCs/>
          <w:i w:val="false"/>
          <w:iCs w:val="false"/>
          <w:color w:val="000000"/>
          <w:sz w:val="32"/>
          <w:szCs w:val="32"/>
        </w:rPr>
        <w:t xml:space="preserve">3.1 Vendor Overview</w:t>
      </w:r>
    </w:p>
    <w:p>
      <w:pPr>
        <w:spacing w:after="140" w:before="0"/>
        <w:jc w:val="left"/>
      </w:pPr>
      <w:r>
        <w:rPr>
          <w:rFonts w:ascii="Aptos" w:cs="Aptos" w:eastAsia="Aptos" w:hAnsi="Aptos"/>
          <w:b w:val="false"/>
          <w:bCs w:val="false"/>
          <w:i w:val="false"/>
          <w:iCs w:val="false"/>
          <w:color w:val="000000"/>
          <w:sz w:val="24"/>
          <w:szCs w:val="24"/>
        </w:rPr>
        <w:t xml:space="preserve">SentinelWatch provides co-managed SOC services to MediSync's 9-person internal SOC team. Their role is to provide 24/7 monitoring coverage during hours when MediSync's own SOC is not staffed, to triage alerts and escalate to MediSync's on-call SOC engineer, and to provide threat intelligence inputs. SentinelWatch has read-only access to MediSync's Microsoft Sentinel workspace — they cannot modify alert rules or configurations.</w:t>
      </w:r>
    </w:p>
    <w:p>
      <w:pPr>
        <w:spacing w:after="140" w:before="0"/>
        <w:jc w:val="left"/>
      </w:pPr>
      <w:r>
        <w:rPr>
          <w:rFonts w:ascii="Aptos" w:cs="Aptos" w:eastAsia="Aptos" w:hAnsi="Aptos"/>
          <w:b w:val="false"/>
          <w:bCs w:val="false"/>
          <w:i w:val="false"/>
          <w:iCs w:val="false"/>
          <w:color w:val="000000"/>
          <w:sz w:val="24"/>
          <w:szCs w:val="24"/>
        </w:rPr>
        <w:t xml:space="preserve">The risk profile for SentinelWatch is different from VaultArchive. Where VaultArchive holds encrypted archive data, SentinelWatch holds visibility into MediSync's security posture — live alert data, log patterns, and knowledge of which threats are and are not being monitored. An insider threat at SentinelWatch could exploit this knowledge even without accessing patient data directly.</w:t>
      </w:r>
    </w:p>
    <w:p>
      <w:pPr>
        <w:pStyle w:val="Heading2"/>
        <w:spacing w:after="100" w:before="200"/>
      </w:pPr>
      <w:r>
        <w:rPr>
          <w:rFonts w:ascii="Aptos" w:cs="Aptos" w:eastAsia="Aptos" w:hAnsi="Aptos"/>
          <w:b/>
          <w:bCs/>
          <w:i w:val="false"/>
          <w:iCs w:val="false"/>
          <w:color w:val="000000"/>
          <w:sz w:val="32"/>
          <w:szCs w:val="32"/>
        </w:rPr>
        <w:t xml:space="preserve">3.2 Assessment Findings by Domain</w:t>
      </w:r>
    </w:p>
    <w:p>
      <w:pPr>
        <w:pStyle w:val="Heading3"/>
        <w:spacing w:after="80" w:before="160"/>
      </w:pPr>
      <w:r>
        <w:rPr>
          <w:rFonts w:ascii="Aptos" w:cs="Aptos" w:eastAsia="Aptos" w:hAnsi="Aptos"/>
          <w:b/>
          <w:bCs/>
          <w:i w:val="false"/>
          <w:iCs w:val="false"/>
          <w:color w:val="000000"/>
          <w:sz w:val="28"/>
          <w:szCs w:val="28"/>
        </w:rPr>
        <w:t xml:space="preserve">Domain A — Security Governance &amp; Certification (Score: 20/25)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2 Type II</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holds a current SOC 2 Type II report covering Security, Availability, and Confidentiality trust service criteria. Report is 8 months old (February 2026). Available under NDA. Reviewed by the assessment team.</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ISO 27001</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does not hold ISO 27001 certification. SOC 2 Type II is an acceptable equivalent for an MSSP. The security schedule requires them to maintain SOC 2 Type II or equivalent going forward.</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programme</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in place. Documented security policies. Annual penetration test (July 2026 summary shared). Security awareness training for all staff including SOC analysts.</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SentinelWatch's most recent SOC 2 report covers a 12-month period ending February 2026 — the next report is not yet available. There is an 8-month gap in formal assurance. MediSync will request the updated report as soon as it is available (expected Q1 2027). This is noted but does not affect the assessment decision.</w:t>
            </w:r>
          </w:p>
        </w:tc>
      </w:tr>
    </w:tbl>
    <w:p>
      <w:pPr>
        <w:pStyle w:val="Heading3"/>
        <w:spacing w:after="80" w:before="160"/>
      </w:pPr>
      <w:r>
        <w:rPr>
          <w:rFonts w:ascii="Aptos" w:cs="Aptos" w:eastAsia="Aptos" w:hAnsi="Aptos"/>
          <w:b/>
          <w:bCs/>
          <w:i w:val="false"/>
          <w:iCs w:val="false"/>
          <w:color w:val="000000"/>
          <w:sz w:val="28"/>
          <w:szCs w:val="28"/>
        </w:rPr>
        <w:t xml:space="preserve">Domain B — Access Control &amp; Identity Management (Score: 18/20)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enforcement</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enforced for all SentinelWatch analysts accessing MediSync's Sentinel workspace. Confirmed in the video walkthrough.</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Named analysts only</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maintains a named list of the 6 analysts who have access to MediSync's Sentinel workspace. Access is not shared with other SentinelWatch clients or teams.</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Background screening</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SentinelWatch SOC analysts with access to MediSync's environment have passed background screening equivalent to MediSync's own screening standard. Confirmation letter provided.</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conducts quarterly access reviews of all client-specific access grants. Most recent review: July 2026. Records provided.</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gap</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to MediSync's Sentinel workspace is granted at the workspace reader level for all 6 analysts. MediSync would prefer individual analyst-level access grants so that individual analysts can be revoked without revoking the full group. SentinelWatch committed to implementing per-analyst access grants by December 2026. Tracked as a security schedule condition.</w:t>
            </w:r>
          </w:p>
        </w:tc>
      </w:tr>
    </w:tbl>
    <w:p>
      <w:pPr>
        <w:pStyle w:val="Heading3"/>
        <w:spacing w:after="80" w:before="160"/>
      </w:pPr>
      <w:r>
        <w:rPr>
          <w:rFonts w:ascii="Aptos" w:cs="Aptos" w:eastAsia="Aptos" w:hAnsi="Aptos"/>
          <w:b/>
          <w:bCs/>
          <w:i w:val="false"/>
          <w:iCs w:val="false"/>
          <w:color w:val="000000"/>
          <w:sz w:val="28"/>
          <w:szCs w:val="28"/>
        </w:rPr>
        <w:t xml:space="preserve">Domain C — Data Handling &amp; Encryption (Score: 18/20)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accessed by SentinelWatch</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reads MediSync's Sentinel log data and alert data in real time. They do not hold copies of log data in their own environment — all access is via the Sentinel workspace API. No MediSync data is cached or stored in SentinelWatch systems.</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Confidentiality obligations</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includes strict confidentiality obligations: no MediSync alert data, log patterns, or security posture information may be shared with any third party or used for any purpose other than providing the MSSP service. Contractually binding.</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findings confidentiality</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confirmed they do not retain notes or documentation about specific MediSync incidents in their own systems beyond the escalation ticket. All incident investigation notes are passed to MediSync and then deleted from SentinelWatch systems within 30 days.</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gap</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SentinelWatch's data retention for escalation tickets is 90 days by default. MediSync requested this be reduced to 30 days for tickets related to MediSync incidents. Agreed and documented in the security schedule.</w:t>
            </w:r>
          </w:p>
        </w:tc>
      </w:tr>
    </w:tbl>
    <w:p>
      <w:pPr>
        <w:pStyle w:val="Heading3"/>
        <w:spacing w:after="80" w:before="160"/>
      </w:pPr>
      <w:r>
        <w:rPr>
          <w:rFonts w:ascii="Aptos" w:cs="Aptos" w:eastAsia="Aptos" w:hAnsi="Aptos"/>
          <w:b/>
          <w:bCs/>
          <w:i w:val="false"/>
          <w:iCs w:val="false"/>
          <w:color w:val="000000"/>
          <w:sz w:val="28"/>
          <w:szCs w:val="28"/>
        </w:rPr>
        <w:t xml:space="preserve">Domain D — Incident Response &amp; Notification (Score: 14/15)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Escalation path formalised</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assessment formalised the escalation path that had previously been informal: SentinelWatch escalates High or Critical alerts to MediSync's on-call SOC engineer within 15 minutes for Critical and within 1 hour for High. This timeline is now in the security schedule and in ISMS-OPS-005 (IR Procedure).</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incident notification</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SentinelWatch detects evidence of a security incident in MediSync's environment, they immediately escalate — they do not investigate independently. The assessment confirmed that SentinelWatch analysts understand their role: triage and escalate, not investigate and remediate.</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own incident</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SentinelWatch itself experiences a security incident (e.g., a compromise of a SentinelWatch analyst's credentials that could affect their access to client environments), they notify all affected clients within 2 hours. Documented in security schedule.</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gap</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SentinelWatch's escalation path did not previously document the CERT-In 6-hour window relevance. This has been addressed in ISMS-OPS-005 — the IR procedure notes that SentinelWatch escalations are the point at which the CERT-In 6-hour clock assessment begins.</w:t>
            </w:r>
          </w:p>
        </w:tc>
      </w:tr>
    </w:tbl>
    <w:p>
      <w:pPr>
        <w:pStyle w:val="Heading3"/>
        <w:spacing w:after="80" w:before="160"/>
      </w:pPr>
      <w:r>
        <w:rPr>
          <w:rFonts w:ascii="Aptos" w:cs="Aptos" w:eastAsia="Aptos" w:hAnsi="Aptos"/>
          <w:b/>
          <w:bCs/>
          <w:i w:val="false"/>
          <w:iCs w:val="false"/>
          <w:color w:val="000000"/>
          <w:sz w:val="28"/>
          <w:szCs w:val="28"/>
        </w:rPr>
        <w:t xml:space="preserve">Domain E — Sub-processor &amp; Supply Chain (Score: 8/10)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Sub-processors</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uses three technology sub-processors: Microsoft (Azure, for their own MSSP platform), their ticketing system provider, and their threat intelligence feed provider. All three named in the DPA.</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intelligence sourcing</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intelligence feeds include commercial feeds and open-source feeds. The commercial feed provider is an established threat intelligence company with its own SOC 2 Type II report.</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ticketing system provider has not been independently assessed by SentinelWatch — they rely on the provider's SOC 2 attestation only. SentinelWatch committed to conducting their own lightweight assessment within 6 months.</w:t>
            </w:r>
          </w:p>
        </w:tc>
      </w:tr>
    </w:tbl>
    <w:p>
      <w:pPr>
        <w:pStyle w:val="Heading3"/>
        <w:spacing w:after="80" w:before="160"/>
      </w:pPr>
      <w:r>
        <w:rPr>
          <w:rFonts w:ascii="Aptos" w:cs="Aptos" w:eastAsia="Aptos" w:hAnsi="Aptos"/>
          <w:b/>
          <w:bCs/>
          <w:i w:val="false"/>
          <w:iCs w:val="false"/>
          <w:color w:val="000000"/>
          <w:sz w:val="28"/>
          <w:szCs w:val="28"/>
        </w:rPr>
        <w:t xml:space="preserve">Domain F — Business Continuity &amp; Recovery (Score: 4/10)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BCDR gap — most significant finding</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SentinelWatch's BCDR capability for their own MSSP platform has not been tested in 18 months. This is the lowest-scoring domain in the assessment. However, the impact to MediSync of a SentinelWatch outage is limited: MediSync's 9-person internal SOC covers business hours, and MediSync can revert to full internal 24/7 coverage (with on-call rotation) for a period if SentinelWatch is unavailable. The risk is elevated operational burden, not a security gap.</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Redundancy</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operates from two geographically separated data centres. If one fails, the other takes over within 30 minutes. This is documented in their BCDR plan but not tested end-to-end at the two-data-centre level.</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requires SentinelWatch to complete a full BCDR test within 6 months (by March 2027) and share results with MediSync. This is a security schedule condition — failure to meet it triggers a re-assessment.</w:t>
            </w:r>
          </w:p>
        </w:tc>
      </w:tr>
    </w:tbl>
    <w:p>
      <w:pPr>
        <w:pStyle w:val="Heading2"/>
        <w:spacing w:after="100" w:before="200"/>
      </w:pPr>
      <w:r>
        <w:rPr>
          <w:rFonts w:ascii="Aptos" w:cs="Aptos" w:eastAsia="Aptos" w:hAnsi="Aptos"/>
          <w:b/>
          <w:bCs/>
          <w:i w:val="false"/>
          <w:iCs w:val="false"/>
          <w:color w:val="000000"/>
          <w:sz w:val="32"/>
          <w:szCs w:val="32"/>
        </w:rPr>
        <w:t xml:space="preserve">3.3 Overall Assessment Conclusion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conclusion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score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82 / 100 — Low risk — Acceptable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2 Type II (current, 8 months old). No ISO 27001. Acceptable for an MSSP.</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strengths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Named analyst access only. No MediSync data cached in SentinelWatch systems. MFA enforced. Escalation path formalised. 24/7 coverage. Background screening confirmed for MediSync-access analysts.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gaps identified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BCDR untested (18 months — most significant gap). SOC 2 report gap (8 months, next report Q1 2027). Group-level Sentinel access (per-analyst grants pending Dec 2026). Ticketing sub-processor not independently assessed.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decision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Accepted with conditions. Four conditions tracked in security schedule. BCDR test by March 2027 is the critical condition.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Signed October 2026. Key conditions: BCDR test by March 2027, per-analyst Sentinel access by December 2026, updated SOC 2 report provided when available (Q1 2027), escalation path timelines contractually binding.</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assessment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September 2027 (annual). Earlier if material change in service, a SentinelWatch security incident, or failure to meet security schedule conditions.</w:t>
            </w:r>
          </w:p>
        </w:tc>
      </w:tr>
    </w:tbl>
    <w:p>
      <w:pPr>
        <w:spacing w:after="60" w:before="80"/>
      </w:pPr>
      <w:r>
        <w:rPr>
          <w:rFonts w:ascii="Aptos" w:cs="Aptos" w:eastAsia="Aptos" w:hAnsi="Aptos"/>
          <w:b/>
          <w:bCs/>
          <w:i w:val="false"/>
          <w:iCs w:val="false"/>
          <w:color w:val="000000"/>
          <w:sz w:val="24"/>
          <w:szCs w:val="24"/>
        </w:rPr>
        <w:t xml:space="preserve">Assessed by: </w:t>
      </w:r>
      <w:r>
        <w:rPr>
          <w:rFonts w:ascii="Aptos" w:cs="Aptos" w:eastAsia="Aptos" w:hAnsi="Aptos"/>
          <w:b w:val="false"/>
          <w:bCs w:val="false"/>
          <w:i w:val="false"/>
          <w:iCs w:val="false"/>
          <w:color w:val="000000"/>
          <w:sz w:val="24"/>
          <w:szCs w:val="24"/>
        </w:rPr>
        <w:t xml:space="preserve">Meera Iyer (ISMS Manager), Neha Choudhury (SOC Manager)</w:t>
      </w:r>
      <w:r>
        <w:rPr>
          <w:rFonts w:ascii="Aptos" w:cs="Aptos" w:eastAsia="Aptos" w:hAnsi="Aptos"/>
          <w:b w:val="false"/>
          <w:bCs w:val="false"/>
          <w:i/>
          <w:iCs/>
          <w:color w:val="000000"/>
          <w:sz w:val="24"/>
          <w:szCs w:val="24"/>
        </w:rPr>
        <w:t xml:space="preserve">   Date: September 2026  |  Approved by: </w:t>
      </w:r>
      <w:r>
        <w:rPr>
          <w:rFonts w:ascii="Aptos" w:cs="Aptos" w:eastAsia="Aptos" w:hAnsi="Aptos"/>
          <w:b w:val="false"/>
          <w:bCs w:val="false"/>
          <w:i w:val="false"/>
          <w:iCs w:val="false"/>
          <w:color w:val="000000"/>
          <w:sz w:val="24"/>
          <w:szCs w:val="24"/>
        </w:rPr>
        <w:t xml:space="preserve">Vikram Sundaram (CISO)</w:t>
      </w:r>
      <w:r>
        <w:rPr>
          <w:rFonts w:ascii="Aptos" w:cs="Aptos" w:eastAsia="Aptos" w:hAnsi="Aptos"/>
          <w:b w:val="false"/>
          <w:bCs w:val="false"/>
          <w:i/>
          <w:iCs/>
          <w:color w:val="000000"/>
          <w:sz w:val="24"/>
          <w:szCs w:val="24"/>
        </w:rPr>
        <w:t xml:space="preserve">   Date: October 2026</w:t>
      </w:r>
    </w:p>
    <w:p>
      <w:r>
        <w:br w:type="page"/>
      </w:r>
    </w:p>
    <w:p>
      <w:pPr>
        <w:pStyle w:val="Heading1"/>
        <w:spacing w:after="120" w:before="300"/>
      </w:pPr>
      <w:r>
        <w:rPr>
          <w:rFonts w:ascii="Aptos" w:cs="Aptos" w:eastAsia="Aptos" w:hAnsi="Aptos"/>
          <w:b/>
          <w:bCs/>
          <w:i w:val="false"/>
          <w:iCs w:val="false"/>
          <w:color w:val="000000"/>
          <w:sz w:val="36"/>
          <w:szCs w:val="36"/>
        </w:rPr>
        <w:t xml:space="preserve">Section 4: MedLink Gulf Integrators — Assessment In Progress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name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Integrators (fictional — created for simulation purposes)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tier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 processes Restricted-classified UAE clinical data</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PROGRESS — questionnaire returned October 2026. Documentary review underway. Video walkthrough scheduled November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Expected completion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November 2026 — report to be appended to this document as Appendix B</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Interim risk posture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DPA in place. Security clause in commercial agreement. No independent security assessment to date.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Action if not complete by Nov 2026</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Escalate to CISO. Interim risk treatment: treat as MED-HIGH residual risk (R-019 in ISMS-PLN-004) until assessment complete.</w:t>
            </w:r>
          </w:p>
        </w:tc>
      </w:tr>
    </w:tbl>
    <w:p>
      <w:pPr>
        <w:spacing w:after="140" w:before="0"/>
        <w:jc w:val="left"/>
      </w:pPr>
      <w:r>
        <w:rPr>
          <w:rFonts w:ascii="Aptos" w:cs="Aptos" w:eastAsia="Aptos" w:hAnsi="Aptos"/>
          <w:b w:val="false"/>
          <w:bCs w:val="false"/>
          <w:i w:val="false"/>
          <w:iCs w:val="false"/>
          <w:color w:val="000000"/>
          <w:sz w:val="24"/>
          <w:szCs w:val="24"/>
        </w:rPr>
        <w:t xml:space="preserve">The MedLink Gulf assessment was initiated in October 2026 after the VaultArchive and SentinelWatch assessments were completed. MedLink Gulf processes UAE patient data as part of their healthcare integration services for MediSync's UAE customers. The assessment is following the same Tier 1 framework as the assessments in Sections 2 and 3. The completed report will be appended here and ISMS-OPS-004 (Supplier Register) will be updated when the assessment closes.</w:t>
      </w:r>
    </w:p>
    <w:p>
      <w:pPr>
        <w:pStyle w:val="Heading1"/>
        <w:spacing w:after="120" w:before="300"/>
      </w:pPr>
      <w:r>
        <w:rPr>
          <w:rFonts w:ascii="Aptos" w:cs="Aptos" w:eastAsia="Aptos" w:hAnsi="Aptos"/>
          <w:b/>
          <w:bCs/>
          <w:i w:val="false"/>
          <w:iCs w:val="false"/>
          <w:color w:val="000000"/>
          <w:sz w:val="36"/>
          <w:szCs w:val="36"/>
        </w:rPr>
        <w:t xml:space="preserve">Section 5: Tier 2 and Tier 3 Assessments — Status</w:t>
      </w:r>
    </w:p>
    <w:p>
      <w:pPr>
        <w:spacing w:after="140" w:before="0"/>
        <w:jc w:val="left"/>
      </w:pPr>
      <w:r>
        <w:rPr>
          <w:rFonts w:ascii="Aptos" w:cs="Aptos" w:eastAsia="Aptos" w:hAnsi="Aptos"/>
          <w:b w:val="false"/>
          <w:bCs w:val="false"/>
          <w:i w:val="false"/>
          <w:iCs w:val="false"/>
          <w:color w:val="000000"/>
          <w:sz w:val="24"/>
          <w:szCs w:val="24"/>
        </w:rPr>
        <w:t xml:space="preserve">Tier 2 vendors (PulseMail Communications, PayBridge Payments, TrustID Solutions) will be assessed using the 30-question Tier 2 questionnaire. Onboarding assessments are due by December 2026. Tier 3 vendors require standard due diligence only — no formal security assessment.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000"/>
        <w:gridCol w:w="2400"/>
        <w:gridCol w:w="26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Vendor</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Tier</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status</w:t>
            </w:r>
          </w:p>
        </w:tc>
        <w:tc>
          <w:tcPr>
            <w:tcW w:type="dxa" w:w="2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Due date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PulseMail Communications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started — questionnaire to be issued Nov 2026</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 2026</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PayBridge Payments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started — questionnaire to be issued Nov 2026</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 2026</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TrustID Solutions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started — questionnaire to be issued Nov 2026</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 2026</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Meridian Assurance Partners (Legal)</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3</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 due diligence complete — no personal data access</w:t>
            </w:r>
          </w:p>
        </w:tc>
        <w:tc>
          <w:tcPr>
            <w:tcW w:type="dxa" w:w="2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Anchor &amp; Vance LLP (Legal, UAE)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 due diligence complete — no personal data access</w:t>
            </w:r>
          </w:p>
        </w:tc>
        <w:tc>
          <w:tcPr>
            <w:tcW w:type="dxa" w:w="2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w:t>
            </w:r>
          </w:p>
        </w:tc>
      </w:tr>
    </w:tbl>
    <w:p>
      <w:pPr>
        <w:pStyle w:val="Heading1"/>
        <w:spacing w:after="120" w:before="300"/>
      </w:pPr>
      <w:r>
        <w:rPr>
          <w:rFonts w:ascii="Aptos" w:cs="Aptos" w:eastAsia="Aptos" w:hAnsi="Aptos"/>
          <w:b/>
          <w:bCs/>
          <w:i w:val="false"/>
          <w:iCs w:val="false"/>
          <w:color w:val="000000"/>
          <w:sz w:val="36"/>
          <w:szCs w:val="36"/>
        </w:rPr>
        <w:t xml:space="preserve">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framework and reports prepared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technical findings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technical findings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Both reports approved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Vikram Sundaram, Chief Information Security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ISMS-OPS-003  |  Vendor Security Assessment Reports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rFonts w:ascii="Aptos" w:cs="Aptos" w:eastAsia="Aptos" w:hAnsi="Aptos"/>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2026-09-02T04:08:01.197Z</dcterms:created>
  <dcterms:modified xsi:type="dcterms:W3CDTF">2026-09-02T04:08:01.208Z</dcterms:modified>
</cp:coreProperties>
</file>

<file path=docProps/custom.xml><?xml version="1.0" encoding="utf-8"?>
<Properties xmlns="http://schemas.openxmlformats.org/officeDocument/2006/custom-properties" xmlns:vt="http://schemas.openxmlformats.org/officeDocument/2006/docPropsVTypes"/>
</file>