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INCIDENT MANAGEMENT PROCEDURE</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Management Procedure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Annex A 5.24 — IS Incident Management Planning and Preparation; A5.25 — Assessment and Decision on IS Events; A5.26 — Response to IS Incidents; A5.27 — Learning from IS Incidents; A5.28 — Collection of Evidence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Applicable Regulations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Rules 2022 (India) — 6-hour mandatory notification; DPDP Act 2023 (India) — Data Processor breach notification; UAE PDPL (Federal Decree-Law No. 45/2021) — supervisory authority notification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Operation (Clause 8), Item 5 of 11</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 Priority 1 treatment (HIGH residual — only risk where residual equals inherent). This procedure closes R-006.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In Force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 SOC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CISO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October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October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Tabletop Exercise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Conducted 20 October 2026. Findings incorporated into this version.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Cycle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Reviewed after every declared incident. Reviewed immediately after any regulatory change to notification timelines.</w:t>
            </w:r>
          </w:p>
        </w:tc>
      </w:tr>
    </w:tbl>
    <w:p>
      <w:pPr>
        <w:spacing w:after="200" w:before="140"/>
        <w:jc w:val="left"/>
      </w:pPr>
      <w:r>
        <w:rPr>
          <w:rFonts w:ascii="Aptos" w:cs="Aptos" w:eastAsia="Aptos" w:hAnsi="Aptos"/>
          <w:b w:val="false"/>
          <w:bCs w:val="false"/>
          <w:i/>
          <w:iCs/>
          <w:color w:val="000000"/>
          <w:sz w:val="24"/>
          <w:szCs w:val="24"/>
        </w:rPr>
        <w:t xml:space="preserve">This procedure defines how MediSync detects, classifies, manages and learns from information security incidents. It contains three separate regulatory notification tracks — CERT-In, DPDP Act and UAE PDPL — each as distinct procedure steps. These tracks are not combined. Missing any notification deadline is an independent regulatory breach.</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800"/>
        <w:gridCol w:w="45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Aug 2026</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three notification tracks defined. IR lifecycle sections drafted.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 2026</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4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review. Alert triage process aligned with OPS-001 D-03. Tabletop scenario incorporated.</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 2026</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4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Post-tabletop revisions (20 Oct 2026). Approved by CISO.</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Security Procedures</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Domain 3 (SOC monitoring) and Domain 6 (key management) provide incident inputs. Alert triage process in D-03.</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Evidence Log</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Incidents and lessons learned are referenced in the evidence log for controls 5.24–5.28.</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ISMS-OPS-006</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Every incident declared under this procedure is logged in OPS-006.</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&amp; Regulatory Register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of the regulatory notification obligations — IND-05 (CERT-In), IND-02 (DPDP Act), UAE-04 (UAE PDPL).</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(IR plan failure) is the primary risk this procedure treats. Post-incident risk register updates are required under Section 10.</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ISMS-SUP-007</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Communication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communication channels for regulatory notifications (E-01, E-02, E-03).</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Both 2024 security incidents at MediSync — the phishing near-miss and the cloud misconfiguration — were handled by Engineering improvisation. Neither triggered a formal response process. Neither produced an evidence trail. And critically, neither involved an assessment of whether a regulatory notification was required. The pre-existing IR plan, written two years earlier by an engineer who had since left the company, predated CERT-In Rules 2022 and contained none of the three notification paths that are now legally required.</w:t>
      </w:r>
    </w:p>
    <w:p>
      <w:pPr>
        <w:spacing w:after="140" w:before="0"/>
        <w:jc w:val="left"/>
      </w:pPr>
      <w:r>
        <w:rPr>
          <w:rFonts w:ascii="Aptos" w:cs="Aptos" w:eastAsia="Aptos" w:hAnsi="Aptos"/>
          <w:b w:val="false"/>
          <w:bCs w:val="false"/>
          <w:i w:val="false"/>
          <w:iCs w:val="false"/>
          <w:color w:val="000000"/>
          <w:sz w:val="24"/>
          <w:szCs w:val="24"/>
        </w:rPr>
        <w:t xml:space="preserve">This procedure replaces that plan. It is written for the people who will use it under pressure — SOC analysts, the SOC Manager, the CISO — not for auditors. Every section answers a specific operational question: what do I do, in what order, and by when.</w:t>
      </w:r>
    </w:p>
    <w:p>
      <w:pPr>
        <w:spacing w:after="140" w:before="0"/>
        <w:jc w:val="left"/>
      </w:pPr>
      <w:r>
        <w:rPr>
          <w:rFonts w:ascii="Aptos" w:cs="Aptos" w:eastAsia="Aptos" w:hAnsi="Aptos"/>
          <w:b w:val="false"/>
          <w:bCs w:val="false"/>
          <w:i w:val="false"/>
          <w:iCs w:val="false"/>
          <w:color w:val="000000"/>
          <w:sz w:val="24"/>
          <w:szCs w:val="24"/>
        </w:rPr>
        <w:t xml:space="preserve">The single most important rule in this procedure: the CERT-In 6-hour notification clock starts from the moment MediSync becomes aware of a reportable incident — not from when a decision is made to notify. Awareness and notification decision are different events. Do not wait for a full investigation before assessing whether the 6-hour clock is running.</w:t>
      </w:r>
    </w:p>
    <w:p>
      <w:pPr>
        <w:pStyle w:val="Heading1"/>
        <w:spacing w:after="120" w:before="300"/>
      </w:pPr>
      <w:r>
        <w:rPr>
          <w:rFonts w:ascii="Aptos" w:cs="Aptos" w:eastAsia="Aptos" w:hAnsi="Aptos"/>
          <w:b/>
          <w:bCs/>
          <w:i w:val="false"/>
          <w:iCs w:val="false"/>
          <w:color w:val="000000"/>
          <w:sz w:val="36"/>
          <w:szCs w:val="36"/>
        </w:rPr>
        <w:t xml:space="preserve">2. Scope</w:t>
      </w:r>
    </w:p>
    <w:p>
      <w:pPr>
        <w:spacing w:after="140" w:before="0"/>
        <w:jc w:val="left"/>
      </w:pPr>
      <w:r>
        <w:rPr>
          <w:rFonts w:ascii="Aptos" w:cs="Aptos" w:eastAsia="Aptos" w:hAnsi="Aptos"/>
          <w:b w:val="false"/>
          <w:bCs w:val="false"/>
          <w:i w:val="false"/>
          <w:iCs w:val="false"/>
          <w:color w:val="000000"/>
          <w:sz w:val="24"/>
          <w:szCs w:val="24"/>
        </w:rPr>
        <w:t xml:space="preserve">This procedure applies to all information security events and incidents within the ISMS scope (ISMS-INI-011). It covers events reported by: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MediSync SOC (Sentinel alerts, CrowdStrike detections, SentinelWatch MSSP escalations)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MediSync staff via security@medisync.io or direct contact with a Security Champion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Third-party vendors notifying MediSync of an incident affecting MediSync data (VaultArchive, SentinelWatch, MedLink Gulf)</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Customer notification — a hospital customer reporting a suspected breach of their data within MediSync's systems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External discovery — a security researcher, regulator, or media report indicating a potential MediSync incident</w:t>
      </w:r>
    </w:p>
    <w:p>
      <w:pPr>
        <w:pStyle w:val="Heading1"/>
        <w:spacing w:after="120" w:before="300"/>
      </w:pPr>
      <w:r>
        <w:rPr>
          <w:rFonts w:ascii="Aptos" w:cs="Aptos" w:eastAsia="Aptos" w:hAnsi="Aptos"/>
          <w:b/>
          <w:bCs/>
          <w:i w:val="false"/>
          <w:iCs w:val="false"/>
          <w:color w:val="000000"/>
          <w:sz w:val="36"/>
          <w:szCs w:val="36"/>
        </w:rPr>
        <w:t xml:space="preserve">3. Definitions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Term</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Definition</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event</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Any observable occurrence that could indicate an actual or potential information security incident. Events are triaged and may or may not be escalated to incidents.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incident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security event that has been confirmed or determined to be probable — where the available evidence indicates that a breach of confidentiality, integrity or availability has occurred or is occurring.</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Near-miss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security event that could have resulted in an incident but did not, either because it was detected and stopped before impact or because it completed without adverse effect.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Reportable incident</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incident that meets the threshold for regulatory notification — under CERT-In Rules 2022, DPDP Act, or UAE PDPL. The threshold assessment is the responsibility of the CISO, performed in consultation with the Head of Legal.</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6-hour clock</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regulatory obligation timer under CERT-In Rules 2022, India. The clock starts from the moment MediSync (or anyone acting on MediSync's behalf, including SentinelWatch MSSP) becomes aware of a qualifying incident. It does not start from when MediSync decides to notify — it starts from awareness.</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Commander</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named individual accountable for incident management decisions during a declared incident. For most incidents: the CISO (Vikram Sundaram). For incidents where the CISO is unavailable: the Deputy ISMS Manager (Rohan Sharma) assumes interim command and immediately notifies the CEO.</w:t>
            </w:r>
          </w:p>
        </w:tc>
      </w:tr>
    </w:tbl>
    <w:p>
      <w:pPr>
        <w:pStyle w:val="Heading1"/>
        <w:spacing w:after="120" w:before="300"/>
      </w:pPr>
      <w:r>
        <w:rPr>
          <w:rFonts w:ascii="Aptos" w:cs="Aptos" w:eastAsia="Aptos" w:hAnsi="Aptos"/>
          <w:b/>
          <w:bCs/>
          <w:i w:val="false"/>
          <w:iCs w:val="false"/>
          <w:color w:val="000000"/>
          <w:sz w:val="36"/>
          <w:szCs w:val="36"/>
        </w:rPr>
        <w:t xml:space="preserve">4. Incident Lifecycle Overview</w:t>
      </w:r>
    </w:p>
    <w:p>
      <w:pPr>
        <w:spacing w:after="140" w:before="0"/>
        <w:jc w:val="left"/>
      </w:pPr>
      <w:r>
        <w:rPr>
          <w:rFonts w:ascii="Aptos" w:cs="Aptos" w:eastAsia="Aptos" w:hAnsi="Aptos"/>
          <w:b w:val="false"/>
          <w:bCs w:val="false"/>
          <w:i w:val="false"/>
          <w:iCs w:val="false"/>
          <w:color w:val="000000"/>
          <w:sz w:val="24"/>
          <w:szCs w:val="24"/>
        </w:rPr>
        <w:t xml:space="preserve">Every incident passes through six phases. Sections 5–10 of this procedure define each phase in detail. The lifecycle is linear — phases are not skipped — but phases may overlap in time during a fast-moving incident.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800"/>
        <w:gridCol w:w="56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5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happens</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Detection</w:t>
            </w:r>
          </w:p>
        </w:tc>
        <w:tc>
          <w:tcPr>
            <w:tcW w:type="dxa" w:w="5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Event is detected — by Sentinel alert, CrowdStrike detection, staff report, or external notification.</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Classification</w:t>
            </w:r>
          </w:p>
        </w:tc>
        <w:tc>
          <w:tcPr>
            <w:tcW w:type="dxa" w:w="5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analyst classifies the event: security incident, near-miss, or false positive. Severity is assigned.</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Notification assessment</w:t>
            </w:r>
          </w:p>
        </w:tc>
        <w:tc>
          <w:tcPr>
            <w:tcW w:type="dxa" w:w="5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assesses whether the incident is CERT-In reportable, DPDP Act reportable, or UAE PDPL reportable. Each assessment is independent. Assessment completed within 2 hours of incident classification.</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Containment</w:t>
            </w:r>
          </w:p>
        </w:tc>
        <w:tc>
          <w:tcPr>
            <w:tcW w:type="dxa" w:w="5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Actions taken to stop the incident from spreading or causing further damage. Evidence is preserved simultaneously.</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Eradication and recovery</w:t>
            </w:r>
          </w:p>
        </w:tc>
        <w:tc>
          <w:tcPr>
            <w:tcW w:type="dxa" w:w="5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Root cause is identified and eliminated. Systems are restored. Regulatory notifications (if required) are sent during or immediately after containment.</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Post-incident review</w:t>
            </w:r>
          </w:p>
        </w:tc>
        <w:tc>
          <w:tcPr>
            <w:tcW w:type="dxa" w:w="5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Lessons learned, evidence package prepared, risk register updated, awareness programme updated if relevant.</w:t>
            </w:r>
          </w:p>
        </w:tc>
      </w:tr>
    </w:tbl>
    <w:p>
      <w:pPr>
        <w:pStyle w:val="Heading1"/>
        <w:spacing w:after="120" w:before="300"/>
      </w:pPr>
      <w:r>
        <w:rPr>
          <w:rFonts w:ascii="Aptos" w:cs="Aptos" w:eastAsia="Aptos" w:hAnsi="Aptos"/>
          <w:b/>
          <w:bCs/>
          <w:i w:val="false"/>
          <w:iCs w:val="false"/>
          <w:color w:val="000000"/>
          <w:sz w:val="36"/>
          <w:szCs w:val="36"/>
        </w:rPr>
        <w:t xml:space="preserve">5. Phase 1: Detection</w:t>
      </w:r>
    </w:p>
    <w:p>
      <w:pPr>
        <w:spacing w:after="140" w:before="0"/>
        <w:jc w:val="left"/>
      </w:pPr>
      <w:r>
        <w:rPr>
          <w:rFonts w:ascii="Aptos" w:cs="Aptos" w:eastAsia="Aptos" w:hAnsi="Aptos"/>
          <w:b w:val="false"/>
          <w:bCs w:val="false"/>
          <w:i w:val="false"/>
          <w:iCs w:val="false"/>
          <w:color w:val="000000"/>
          <w:sz w:val="24"/>
          <w:szCs w:val="24"/>
        </w:rPr>
        <w:t xml:space="preserve">Detection is not limited to automated alerts. Any of the following constitutes detection for the purposes of starting the incident timeline: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Sentinel alert classified as High or Critical by the SOC.</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CrowdStrike detection triggering automatic endpoint isolation.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SentinelWatch MSSP escalation received outside business hours.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staff report to security@medisync.io or to a Security Champion.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vendor notification from VaultArchive, SentinelWatch, or MedLink Gulf indicating an incident affecting MediSync data.</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customer (hospital) reporting a suspected breach of their data.</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CERT-In advisory or external disclosure relating to a MediSync system.</w:t>
      </w:r>
    </w:p>
    <w:p>
      <w:pPr>
        <w:spacing w:after="140" w:before="60"/>
        <w:jc w:val="left"/>
      </w:pPr>
      <w:r>
        <w:rPr>
          <w:rFonts w:ascii="Aptos" w:cs="Aptos" w:eastAsia="Aptos" w:hAnsi="Aptos"/>
          <w:b w:val="false"/>
          <w:bCs w:val="false"/>
          <w:i w:val="false"/>
          <w:iCs w:val="false"/>
          <w:color w:val="000000"/>
          <w:sz w:val="24"/>
          <w:szCs w:val="24"/>
        </w:rPr>
        <w:t xml:space="preserve">When any of the above occurs, the receiving person (SOC analyst, Security Champion, any MediSync staff member) logs the detection time and routes immediately to the SOC. The detection time is the start of the incident timeline regardless of what is subsequently discovered. It is not adjusted retrospectively.</w:t>
      </w:r>
    </w:p>
    <w:p>
      <w:pPr>
        <w:pStyle w:val="Heading1"/>
        <w:spacing w:after="120" w:before="300"/>
      </w:pPr>
      <w:r>
        <w:rPr>
          <w:rFonts w:ascii="Aptos" w:cs="Aptos" w:eastAsia="Aptos" w:hAnsi="Aptos"/>
          <w:b/>
          <w:bCs/>
          <w:i w:val="false"/>
          <w:iCs w:val="false"/>
          <w:color w:val="000000"/>
          <w:sz w:val="36"/>
          <w:szCs w:val="36"/>
        </w:rPr>
        <w:t xml:space="preserve">6. Phase 2: Classification and Severity Assignment</w:t>
      </w:r>
    </w:p>
    <w:p>
      <w:pPr>
        <w:spacing w:after="140" w:before="0"/>
        <w:jc w:val="left"/>
      </w:pPr>
      <w:r>
        <w:rPr>
          <w:rFonts w:ascii="Aptos" w:cs="Aptos" w:eastAsia="Aptos" w:hAnsi="Aptos"/>
          <w:b w:val="false"/>
          <w:bCs w:val="false"/>
          <w:i w:val="false"/>
          <w:iCs w:val="false"/>
          <w:color w:val="000000"/>
          <w:sz w:val="24"/>
          <w:szCs w:val="24"/>
        </w:rPr>
        <w:t xml:space="preserve">The SOC analyst classifies the event within the response SLA defined in ISMS-OPS-001 D-03.2. The classification options are: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Classification</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Definition and action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incident — CRITICAL</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or highly probable breach with immediate impact. Automated containment may already be in progress (CrowdStrike isolation). CISO notified immediately. Incident declared and Phase 3 assessment begins immediately.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incident — HIGH</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or probable breach with significant impact but not yet spreading or causing immediate data loss. CISO notified within 1 hour. Incident declared. Phase 3 assessment begins within 2 hours.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incident — MEDIUM</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breach with limited impact. SOC Manager notified. Incident declared. Phase 3 assessment within 4 hours.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incident — LOW</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breach with minimal impact. Logged in OPS-006. SOC Manager reviews within 24 hours. Phase 3 assessment if any Restricted data is involved.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Near-miss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Event that could have been an incident but was not. Logged in OPS-006 with near-miss designation. Post-incident review required. No regulatory notification required unless the near-miss reveals a vulnerability that must be disclosed.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False positive</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Alert rule triggered by benign activity. Logged in alert tuning log. No incident record in OPS-006. Rule tuning assessed by SOC Manager.</w:t>
            </w:r>
          </w:p>
        </w:tc>
      </w:tr>
    </w:tbl>
    <w:p>
      <w:pPr>
        <w:spacing w:after="140" w:before="60"/>
        <w:jc w:val="left"/>
      </w:pPr>
      <w:r>
        <w:rPr>
          <w:rFonts w:ascii="Aptos" w:cs="Aptos" w:eastAsia="Aptos" w:hAnsi="Aptos"/>
          <w:b w:val="false"/>
          <w:bCs w:val="false"/>
          <w:i w:val="false"/>
          <w:iCs w:val="false"/>
          <w:color w:val="000000"/>
          <w:sz w:val="24"/>
          <w:szCs w:val="24"/>
        </w:rPr>
        <w:t xml:space="preserve">The CERT-In 6-hour clock assessment is triggered by any classification of CRITICAL, HIGH, or MEDIUM. It is not triggered by near-misses or false positives. If the classification changes (e.g., from MEDIUM to HIGH as investigation proceeds), the clock is calculated from the original detection time, not from the reclassification.</w:t>
      </w:r>
    </w:p>
    <w:p>
      <w:pPr>
        <w:pStyle w:val="Heading1"/>
        <w:spacing w:after="120" w:before="300"/>
      </w:pPr>
      <w:r>
        <w:rPr>
          <w:rFonts w:ascii="Aptos" w:cs="Aptos" w:eastAsia="Aptos" w:hAnsi="Aptos"/>
          <w:b/>
          <w:bCs/>
          <w:i w:val="false"/>
          <w:iCs w:val="false"/>
          <w:color w:val="000000"/>
          <w:sz w:val="36"/>
          <w:szCs w:val="36"/>
        </w:rPr>
        <w:t xml:space="preserve">7. Phase 3: Regulatory Notification Assessment</w:t>
      </w:r>
    </w:p>
    <w:p>
      <w:pPr>
        <w:spacing w:after="140" w:before="0"/>
        <w:jc w:val="left"/>
      </w:pPr>
      <w:r>
        <w:rPr>
          <w:rFonts w:ascii="Aptos" w:cs="Aptos" w:eastAsia="Aptos" w:hAnsi="Aptos"/>
          <w:b w:val="false"/>
          <w:bCs w:val="false"/>
          <w:i w:val="false"/>
          <w:iCs w:val="false"/>
          <w:color w:val="000000"/>
          <w:sz w:val="24"/>
          <w:szCs w:val="24"/>
        </w:rPr>
        <w:t xml:space="preserve">Three regulatory notification obligations may apply, independently. Each is assessed separately. Meeting one obligation does not satisfy another. The CISO performs this assessment, in consultation with the Head of Legal, within 2 hours of incident classification.</w:t>
      </w:r>
    </w:p>
    <w:p>
      <w:pPr>
        <w:spacing w:after="140" w:before="60"/>
        <w:jc w:val="left"/>
      </w:pPr>
      <w:r>
        <w:rPr>
          <w:rFonts w:ascii="Aptos" w:cs="Aptos" w:eastAsia="Aptos" w:hAnsi="Aptos"/>
          <w:b w:val="false"/>
          <w:bCs w:val="false"/>
          <w:i/>
          <w:iCs/>
          <w:color w:val="000000"/>
          <w:sz w:val="24"/>
          <w:szCs w:val="24"/>
        </w:rPr>
        <w:t xml:space="preserve">The three tracks below are distinct procedure steps. They are not merged, combined, or satisfied by a single notification. Read each track separately.</w:t>
      </w:r>
    </w:p>
    <w:p>
      <w:pPr>
        <w:pStyle w:val="Heading2"/>
        <w:spacing w:after="100" w:before="200"/>
      </w:pPr>
      <w:r>
        <w:rPr>
          <w:rFonts w:ascii="Aptos" w:cs="Aptos" w:eastAsia="Aptos" w:hAnsi="Aptos"/>
          <w:b/>
          <w:bCs/>
          <w:i w:val="false"/>
          <w:iCs w:val="false"/>
          <w:color w:val="000000"/>
          <w:sz w:val="32"/>
          <w:szCs w:val="32"/>
        </w:rPr>
        <w:t xml:space="preserve">7.1 Track 1 — CERT-In (India): 6-Hour Mandatory Notification</w:t>
      </w:r>
    </w:p>
    <w:p>
      <w:pPr>
        <w:spacing w:after="140" w:before="0"/>
        <w:jc w:val="left"/>
      </w:pPr>
      <w:r>
        <w:rPr>
          <w:rFonts w:ascii="Aptos" w:cs="Aptos" w:eastAsia="Aptos" w:hAnsi="Aptos"/>
          <w:b w:val="false"/>
          <w:bCs w:val="false"/>
          <w:i w:val="false"/>
          <w:iCs w:val="false"/>
          <w:color w:val="000000"/>
          <w:sz w:val="24"/>
          <w:szCs w:val="24"/>
        </w:rPr>
        <w:t xml:space="preserve">CERT-In Rules 2022 require that MediSync reports qualifying cyber security incidents to the Indian Computer Emergency Response Team within 6 hours of becoming aware.</w:t>
      </w:r>
    </w:p>
    <w:p>
      <w:pPr>
        <w:spacing w:after="140" w:before="60"/>
        <w:jc w:val="left"/>
      </w:pPr>
      <w:r>
        <w:rPr>
          <w:rFonts w:ascii="Aptos" w:cs="Aptos" w:eastAsia="Aptos" w:hAnsi="Aptos"/>
          <w:b w:val="false"/>
          <w:bCs w:val="false"/>
          <w:i/>
          <w:iCs/>
          <w:color w:val="C00000"/>
          <w:sz w:val="24"/>
          <w:szCs w:val="24"/>
        </w:rPr>
        <w:t xml:space="preserve">CRITICAL RULE: The 6-hour clock runs from detection time (Phase 1). It does not wait for the investigation to be complete, for the classification to be confirmed, or for a senior manager to be available. If a qualifying incident is detected at 22:00, the CERT-In notification must be filed by 04:00 the next morning.</w:t>
      </w:r>
    </w:p>
    <w:p>
      <w:pPr>
        <w:pStyle w:val="Heading3"/>
        <w:spacing w:after="80" w:before="160"/>
      </w:pPr>
      <w:r>
        <w:rPr>
          <w:rFonts w:ascii="Aptos" w:cs="Aptos" w:eastAsia="Aptos" w:hAnsi="Aptos"/>
          <w:b/>
          <w:bCs/>
          <w:i w:val="false"/>
          <w:iCs w:val="false"/>
          <w:color w:val="000000"/>
          <w:sz w:val="28"/>
          <w:szCs w:val="28"/>
        </w:rPr>
        <w:t xml:space="preserve">Which incidents are CERT-In reportable?</w:t>
      </w:r>
    </w:p>
    <w:p>
      <w:pPr>
        <w:spacing w:after="140" w:before="0"/>
        <w:jc w:val="left"/>
      </w:pPr>
      <w:r>
        <w:rPr>
          <w:rFonts w:ascii="Aptos" w:cs="Aptos" w:eastAsia="Aptos" w:hAnsi="Aptos"/>
          <w:b w:val="false"/>
          <w:bCs w:val="false"/>
          <w:i w:val="false"/>
          <w:iCs w:val="false"/>
          <w:color w:val="000000"/>
          <w:sz w:val="24"/>
          <w:szCs w:val="24"/>
        </w:rPr>
        <w:t xml:space="preserve">Per CERT-In Rules 2022, the following categories are reportable (this is not an exhaustive list — when in doubt, notify):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Targeted scanning or probing of critical networks or systems.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Compromise of critical systems or information — including patient records, authentication systems, or API-GW.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Unauthorised access to IT systems or data — including hospital-facing admin accounts.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Defacement of websites or social media accounts.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Malicious code attacks — including ransomware, spyware, worms.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Attacks on servers and network infrastructure — including DDoS, intrusion.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Identity theft and online fraud attacks.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Breach of data or data leak — including any unauthorised access to Restricted-classified data.</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incident affecting digital payment systems.</w:t>
      </w:r>
    </w:p>
    <w:p>
      <w:pPr>
        <w:pStyle w:val="Heading3"/>
        <w:spacing w:after="80" w:before="160"/>
      </w:pPr>
      <w:r>
        <w:rPr>
          <w:rFonts w:ascii="Aptos" w:cs="Aptos" w:eastAsia="Aptos" w:hAnsi="Aptos"/>
          <w:b/>
          <w:bCs/>
          <w:i w:val="false"/>
          <w:iCs w:val="false"/>
          <w:color w:val="000000"/>
          <w:sz w:val="28"/>
          <w:szCs w:val="28"/>
        </w:rPr>
        <w:t xml:space="preserve">CERT-In notification content (minimum required)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Required field</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to include</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Type of incident</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Specific CERT-In incident category (from the list above). Be specific — "data breach" not "security incident".</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and time of detection</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actual detection time from Phase 1. Not the time of reporting.</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Severity</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Use CERT-In's own severity scale: Low / Medium / High / Critical. Map from MediSync's classification.</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Systems affected</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Specific systems, application names, and data categories affected. "MediSync EHR-CORE, patient record database, India region" is appropriate specificity.</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Actions taken</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Containment actions already implemented at time of notification. "Affected endpoint isolated by CrowdStrike. Hospital-facing admin accounts suspended pending review."</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Impact assessment (preliminary)</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Number of records or users potentially affected, if known at time of filing. Use "unknown — investigation ongoing" if not yet determined.</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Point of contact</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name and direct contact number for CERT-In follow-up.</w:t>
            </w:r>
          </w:p>
        </w:tc>
      </w:tr>
    </w:tbl>
    <w:p>
      <w:pPr>
        <w:pStyle w:val="Heading3"/>
        <w:spacing w:after="80" w:before="160"/>
      </w:pPr>
      <w:r>
        <w:rPr>
          <w:rFonts w:ascii="Aptos" w:cs="Aptos" w:eastAsia="Aptos" w:hAnsi="Aptos"/>
          <w:b/>
          <w:bCs/>
          <w:i w:val="false"/>
          <w:iCs w:val="false"/>
          <w:color w:val="000000"/>
          <w:sz w:val="28"/>
          <w:szCs w:val="28"/>
        </w:rPr>
        <w:t xml:space="preserve">CERT-In notification channel</w:t>
      </w:r>
    </w:p>
    <w:p>
      <w:pPr>
        <w:spacing w:after="140" w:before="0"/>
        <w:jc w:val="left"/>
      </w:pPr>
      <w:r>
        <w:rPr>
          <w:rFonts w:ascii="Aptos" w:cs="Aptos" w:eastAsia="Aptos" w:hAnsi="Aptos"/>
          <w:b w:val="false"/>
          <w:bCs w:val="false"/>
          <w:i w:val="false"/>
          <w:iCs w:val="false"/>
          <w:color w:val="000000"/>
          <w:sz w:val="24"/>
          <w:szCs w:val="24"/>
        </w:rPr>
        <w:t xml:space="preserve">Notify via: CERT-In reporting portal (https://www.cert-in.org.in/incident-reporting-form) AND email to incident@cert-in.org.in. Both channels in parallel — not one instead of the other.</w:t>
      </w:r>
    </w:p>
    <w:p>
      <w:pPr>
        <w:spacing w:after="140" w:before="60"/>
        <w:jc w:val="left"/>
      </w:pPr>
      <w:r>
        <w:rPr>
          <w:rFonts w:ascii="Aptos" w:cs="Aptos" w:eastAsia="Aptos" w:hAnsi="Aptos"/>
          <w:b w:val="false"/>
          <w:bCs w:val="false"/>
          <w:i w:val="false"/>
          <w:iCs w:val="false"/>
          <w:color w:val="000000"/>
          <w:sz w:val="24"/>
          <w:szCs w:val="24"/>
        </w:rPr>
        <w:t xml:space="preserve">Notification owner: CISO (Vikram Sundaram). The CISO must approve the notification content before submission. If the CISO is unreachable and the 6-hour window is at risk, the Head of Legal (Omar Al Mansoori) submits with immediate notification to the CEO.</w:t>
      </w:r>
    </w:p>
    <w:p>
      <w:pPr>
        <w:spacing w:after="140" w:before="60"/>
        <w:jc w:val="left"/>
      </w:pPr>
      <w:r>
        <w:rPr>
          <w:rFonts w:ascii="Aptos" w:cs="Aptos" w:eastAsia="Aptos" w:hAnsi="Aptos"/>
          <w:b w:val="false"/>
          <w:bCs w:val="false"/>
          <w:i w:val="false"/>
          <w:iCs w:val="false"/>
          <w:color w:val="000000"/>
          <w:sz w:val="24"/>
          <w:szCs w:val="24"/>
        </w:rPr>
        <w:t xml:space="preserve">After submission: confirm receipt from CERT-In and log the submission timestamp in OPS-006. CERT-In may request additional information or logs within 24 hours of notification — the obligation to produce logs is governed by ISMS-OPS-001 D-03.4 (Sentinel 365-day retention for India region).</w:t>
      </w:r>
    </w:p>
    <w:p>
      <w:pPr>
        <w:pStyle w:val="Heading2"/>
        <w:spacing w:after="100" w:before="200"/>
      </w:pPr>
      <w:r>
        <w:rPr>
          <w:rFonts w:ascii="Aptos" w:cs="Aptos" w:eastAsia="Aptos" w:hAnsi="Aptos"/>
          <w:b/>
          <w:bCs/>
          <w:i w:val="false"/>
          <w:iCs w:val="false"/>
          <w:color w:val="000000"/>
          <w:sz w:val="32"/>
          <w:szCs w:val="32"/>
        </w:rPr>
        <w:t xml:space="preserve">7.2 Track 2 — DPDP Act (India): Data Fiduciary (Customer) Notification</w:t>
      </w:r>
    </w:p>
    <w:p>
      <w:pPr>
        <w:spacing w:after="140" w:before="0"/>
        <w:jc w:val="left"/>
      </w:pPr>
      <w:r>
        <w:rPr>
          <w:rFonts w:ascii="Aptos" w:cs="Aptos" w:eastAsia="Aptos" w:hAnsi="Aptos"/>
          <w:b w:val="false"/>
          <w:bCs w:val="false"/>
          <w:i w:val="false"/>
          <w:iCs w:val="false"/>
          <w:color w:val="000000"/>
          <w:sz w:val="24"/>
          <w:szCs w:val="24"/>
        </w:rPr>
        <w:t xml:space="preserve">Under the Digital Personal Data Protection Act 2023, MediSync (as Data Processor) must notify the Data Fiduciary (the affected hospital customer) when a personal data breach occurs. This obligation is separate from the CERT-In notification. The CERT-In notification does not satisfy the customer notification obligation.</w:t>
      </w:r>
    </w:p>
    <w:p>
      <w:pPr>
        <w:pStyle w:val="Heading3"/>
        <w:spacing w:after="80" w:before="160"/>
      </w:pPr>
      <w:r>
        <w:rPr>
          <w:rFonts w:ascii="Aptos" w:cs="Aptos" w:eastAsia="Aptos" w:hAnsi="Aptos"/>
          <w:b/>
          <w:bCs/>
          <w:i w:val="false"/>
          <w:iCs w:val="false"/>
          <w:color w:val="000000"/>
          <w:sz w:val="28"/>
          <w:szCs w:val="28"/>
        </w:rPr>
        <w:t xml:space="preserve">Which incidents trigger DPDP Act customer notification?</w:t>
      </w:r>
    </w:p>
    <w:p>
      <w:pPr>
        <w:spacing w:after="140" w:before="0"/>
        <w:jc w:val="left"/>
      </w:pPr>
      <w:r>
        <w:rPr>
          <w:rFonts w:ascii="Aptos" w:cs="Aptos" w:eastAsia="Aptos" w:hAnsi="Aptos"/>
          <w:b w:val="false"/>
          <w:bCs w:val="false"/>
          <w:i w:val="false"/>
          <w:iCs w:val="false"/>
          <w:color w:val="000000"/>
          <w:sz w:val="24"/>
          <w:szCs w:val="24"/>
        </w:rPr>
        <w:t xml:space="preserve">Any breach affecting personal data of patients processed on behalf of a hospital customer. "Personal data" under the DPDP Act includes: name, contact details, health records, diagnoses, prescriptions, insurance information, and any identifier that could identify an individual.</w:t>
      </w:r>
    </w:p>
    <w:p>
      <w:pPr>
        <w:spacing w:after="140" w:before="60"/>
        <w:jc w:val="left"/>
      </w:pPr>
      <w:r>
        <w:rPr>
          <w:rFonts w:ascii="Aptos" w:cs="Aptos" w:eastAsia="Aptos" w:hAnsi="Aptos"/>
          <w:b w:val="false"/>
          <w:bCs w:val="false"/>
          <w:i w:val="false"/>
          <w:iCs w:val="false"/>
          <w:color w:val="000000"/>
          <w:sz w:val="24"/>
          <w:szCs w:val="24"/>
        </w:rPr>
        <w:t xml:space="preserve">The Data Fiduciary has the primary regulatory disclosure obligation to the Data Protection Board. MediSync's obligation is to notify the Fiduciary promptly so they can fulfil their own regulatory duties.</w:t>
      </w:r>
    </w:p>
    <w:p>
      <w:pPr>
        <w:pStyle w:val="Heading3"/>
        <w:spacing w:after="80" w:before="160"/>
      </w:pPr>
      <w:r>
        <w:rPr>
          <w:rFonts w:ascii="Aptos" w:cs="Aptos" w:eastAsia="Aptos" w:hAnsi="Aptos"/>
          <w:b/>
          <w:bCs/>
          <w:i w:val="false"/>
          <w:iCs w:val="false"/>
          <w:color w:val="000000"/>
          <w:sz w:val="28"/>
          <w:szCs w:val="28"/>
        </w:rPr>
        <w:t xml:space="preserve">DPDP Act customer notification content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Required field</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to include</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Nature of the breach</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happened — type of incident, how data was accessed or affected.</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Personal data categories affected</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Specific data categories — patient health records, contact data, insurance data, etc. Reference the customer's specific data categories from their DPA.</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Approximate number of data subjects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Estimated number of patients affected. Use "under investigation" if not yet determined — do not delay notification.</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Likely consequences of the breach</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harm could result — identity theft, targeted fraud, medical record misuse.</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Measures taken or proposed</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containment actions MediSync has taken. What remediation is planned.</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contact for the customer</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(Omar Al Mansoori) and CISO (Vikram Sundaram) as joint contacts.</w:t>
            </w:r>
          </w:p>
        </w:tc>
      </w:tr>
    </w:tbl>
    <w:p>
      <w:pPr>
        <w:pStyle w:val="Heading3"/>
        <w:spacing w:after="80" w:before="160"/>
      </w:pPr>
      <w:r>
        <w:rPr>
          <w:rFonts w:ascii="Aptos" w:cs="Aptos" w:eastAsia="Aptos" w:hAnsi="Aptos"/>
          <w:b/>
          <w:bCs/>
          <w:i w:val="false"/>
          <w:iCs w:val="false"/>
          <w:color w:val="000000"/>
          <w:sz w:val="28"/>
          <w:szCs w:val="28"/>
        </w:rPr>
        <w:t xml:space="preserve">DPDP Act notification timeline and channel</w:t>
      </w:r>
    </w:p>
    <w:p>
      <w:pPr>
        <w:spacing w:after="140" w:before="0"/>
        <w:jc w:val="left"/>
      </w:pPr>
      <w:r>
        <w:rPr>
          <w:rFonts w:ascii="Aptos" w:cs="Aptos" w:eastAsia="Aptos" w:hAnsi="Aptos"/>
          <w:b w:val="false"/>
          <w:bCs w:val="false"/>
          <w:i w:val="false"/>
          <w:iCs w:val="false"/>
          <w:color w:val="000000"/>
          <w:sz w:val="24"/>
          <w:szCs w:val="24"/>
        </w:rPr>
        <w:t xml:space="preserve">Timeline: as specified in the customer's DPA. Enterprise customers with DPA SLAs of 24 hours are the priority. Where the DPA does not specify a timeline: notify within 72 hours of becoming aware. Notify before internal investigation is complete if the SLA requires it — send a preliminary notification and follow up with supplementary information.</w:t>
      </w:r>
    </w:p>
    <w:p>
      <w:pPr>
        <w:spacing w:after="140" w:before="60"/>
        <w:jc w:val="left"/>
      </w:pPr>
      <w:r>
        <w:rPr>
          <w:rFonts w:ascii="Aptos" w:cs="Aptos" w:eastAsia="Aptos" w:hAnsi="Aptos"/>
          <w:b w:val="false"/>
          <w:bCs w:val="false"/>
          <w:i w:val="false"/>
          <w:iCs w:val="false"/>
          <w:color w:val="000000"/>
          <w:sz w:val="24"/>
          <w:szCs w:val="24"/>
        </w:rPr>
        <w:t xml:space="preserve">Channel: per the notification contact defined in the customer's DPA. For enterprise customers, this is typically the hospital's Information Security Officer or Chief Information Officer. The Head of Customer Success (Divya Nair) holds the current contact list for all 14 enterprise customers.</w:t>
      </w:r>
    </w:p>
    <w:p>
      <w:pPr>
        <w:spacing w:after="140" w:before="60"/>
        <w:jc w:val="left"/>
      </w:pPr>
      <w:r>
        <w:rPr>
          <w:rFonts w:ascii="Aptos" w:cs="Aptos" w:eastAsia="Aptos" w:hAnsi="Aptos"/>
          <w:b w:val="false"/>
          <w:bCs w:val="false"/>
          <w:i w:val="false"/>
          <w:iCs w:val="false"/>
          <w:color w:val="000000"/>
          <w:sz w:val="24"/>
          <w:szCs w:val="24"/>
        </w:rPr>
        <w:t xml:space="preserve">Notification owner: Head of Legal (Omar Al Mansoori), with Customer Success (Divya Nair) handling the communication to the specific customer contact.</w:t>
      </w:r>
    </w:p>
    <w:p>
      <w:pPr>
        <w:pStyle w:val="Heading2"/>
        <w:spacing w:after="100" w:before="200"/>
      </w:pPr>
      <w:r>
        <w:rPr>
          <w:rFonts w:ascii="Aptos" w:cs="Aptos" w:eastAsia="Aptos" w:hAnsi="Aptos"/>
          <w:b/>
          <w:bCs/>
          <w:i w:val="false"/>
          <w:iCs w:val="false"/>
          <w:color w:val="000000"/>
          <w:sz w:val="32"/>
          <w:szCs w:val="32"/>
        </w:rPr>
        <w:t xml:space="preserve">7.3 Track 3 — UAE PDPL: Supervisory Authority Notification</w:t>
      </w:r>
    </w:p>
    <w:p>
      <w:pPr>
        <w:spacing w:after="140" w:before="0"/>
        <w:jc w:val="left"/>
      </w:pPr>
      <w:r>
        <w:rPr>
          <w:rFonts w:ascii="Aptos" w:cs="Aptos" w:eastAsia="Aptos" w:hAnsi="Aptos"/>
          <w:b w:val="false"/>
          <w:bCs w:val="false"/>
          <w:i w:val="false"/>
          <w:iCs w:val="false"/>
          <w:color w:val="000000"/>
          <w:sz w:val="24"/>
          <w:szCs w:val="24"/>
        </w:rPr>
        <w:t xml:space="preserve">The UAE Personal Data Protection Law (Federal Decree-Law No. 45/2021) requires notification to the UAE Data Protection Office (the supervisory authority) when a personal data breach affecting UAE data subjects occurs.</w:t>
      </w:r>
    </w:p>
    <w:p>
      <w:pPr>
        <w:pStyle w:val="Heading3"/>
        <w:spacing w:after="80" w:before="160"/>
      </w:pPr>
      <w:r>
        <w:rPr>
          <w:rFonts w:ascii="Aptos" w:cs="Aptos" w:eastAsia="Aptos" w:hAnsi="Aptos"/>
          <w:b/>
          <w:bCs/>
          <w:i w:val="false"/>
          <w:iCs w:val="false"/>
          <w:color w:val="000000"/>
          <w:sz w:val="28"/>
          <w:szCs w:val="28"/>
        </w:rPr>
        <w:t xml:space="preserve">Which incidents trigger UAE PDPL notification?</w:t>
      </w:r>
    </w:p>
    <w:p>
      <w:pPr>
        <w:spacing w:after="140" w:before="0"/>
        <w:jc w:val="left"/>
      </w:pPr>
      <w:r>
        <w:rPr>
          <w:rFonts w:ascii="Aptos" w:cs="Aptos" w:eastAsia="Aptos" w:hAnsi="Aptos"/>
          <w:b w:val="false"/>
          <w:bCs w:val="false"/>
          <w:i w:val="false"/>
          <w:iCs w:val="false"/>
          <w:color w:val="000000"/>
          <w:sz w:val="24"/>
          <w:szCs w:val="24"/>
        </w:rPr>
        <w:t xml:space="preserve">Any breach affecting personal data of UAE data subjects processed through MediSync's UAE systems (Azure UAE North, UAE customer deployments). UAE personal data is Restricted-classified. Any access to UAE patient records without authorisation is a qualifying breach.</w:t>
      </w:r>
    </w:p>
    <w:p>
      <w:pPr>
        <w:pStyle w:val="Heading3"/>
        <w:spacing w:after="80" w:before="160"/>
      </w:pPr>
      <w:r>
        <w:rPr>
          <w:rFonts w:ascii="Aptos" w:cs="Aptos" w:eastAsia="Aptos" w:hAnsi="Aptos"/>
          <w:b/>
          <w:bCs/>
          <w:i w:val="false"/>
          <w:iCs w:val="false"/>
          <w:color w:val="000000"/>
          <w:sz w:val="28"/>
          <w:szCs w:val="28"/>
        </w:rPr>
        <w:t xml:space="preserve">UAE PDPL notification content and timeline</w:t>
      </w:r>
    </w:p>
    <w:p>
      <w:pPr>
        <w:spacing w:after="140" w:before="0"/>
        <w:jc w:val="left"/>
      </w:pPr>
      <w:r>
        <w:rPr>
          <w:rFonts w:ascii="Aptos" w:cs="Aptos" w:eastAsia="Aptos" w:hAnsi="Aptos"/>
          <w:b w:val="false"/>
          <w:bCs w:val="false"/>
          <w:i w:val="false"/>
          <w:iCs w:val="false"/>
          <w:color w:val="000000"/>
          <w:sz w:val="24"/>
          <w:szCs w:val="24"/>
        </w:rPr>
        <w:t xml:space="preserve">The UAE PDPL requires notification "without undue delay" — this is interpreted as within 72 hours of becoming aware of the breach, consistent with the GDPR interpretation used as reference by the UAE regulator. Earlier notification is always acceptable.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64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Required field</w:t>
            </w:r>
          </w:p>
        </w:tc>
        <w:tc>
          <w:tcPr>
            <w:tcW w:type="dxa" w:w="6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to include</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Nature of the breach</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Type and description of the personal data breach.</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Categories of data affected</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Specific personal data categories — clinical data, identity data, contact data.</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Number of data subjects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Estimated number of UAE patients affected.</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Contact details</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 and contact details of the Data Protection Officer (or equivalent) — Head of Legal (Omar Al Mansoori) as the UAE compliance contact.</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Likely consequences</w:t>
            </w:r>
          </w:p>
        </w:tc>
        <w:tc>
          <w:tcPr>
            <w:tcW w:type="dxa" w:w="6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Potential harm to data subjects.</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Measures taken</w:t>
            </w:r>
          </w:p>
        </w:tc>
        <w:tc>
          <w:tcPr>
            <w:tcW w:type="dxa" w:w="6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Containment and remediation steps taken or planned.</w:t>
            </w:r>
          </w:p>
        </w:tc>
      </w:tr>
    </w:tbl>
    <w:p>
      <w:pPr>
        <w:spacing w:after="140" w:before="0"/>
        <w:jc w:val="left"/>
      </w:pPr>
      <w:r>
        <w:rPr>
          <w:rFonts w:ascii="Aptos" w:cs="Aptos" w:eastAsia="Aptos" w:hAnsi="Aptos"/>
          <w:b w:val="false"/>
          <w:bCs w:val="false"/>
          <w:i w:val="false"/>
          <w:iCs w:val="false"/>
          <w:color w:val="000000"/>
          <w:sz w:val="24"/>
          <w:szCs w:val="24"/>
        </w:rPr>
        <w:t xml:space="preserve">Channel: UAE Data Protection Office notification portal or official written submission to the UAE Data Protection Office. Omar Al Mansoori confirms the current notification channel at the time of notification — channel details may be updated as UAE regulatory infrastructure matures.</w:t>
      </w:r>
    </w:p>
    <w:p>
      <w:pPr>
        <w:spacing w:after="140" w:before="60"/>
        <w:jc w:val="left"/>
      </w:pPr>
      <w:r>
        <w:rPr>
          <w:rFonts w:ascii="Aptos" w:cs="Aptos" w:eastAsia="Aptos" w:hAnsi="Aptos"/>
          <w:b w:val="false"/>
          <w:bCs w:val="false"/>
          <w:i w:val="false"/>
          <w:iCs w:val="false"/>
          <w:color w:val="000000"/>
          <w:sz w:val="24"/>
          <w:szCs w:val="24"/>
        </w:rPr>
        <w:t xml:space="preserve">Notification owner: Head of Legal (Omar Al Mansoori).</w:t>
      </w:r>
    </w:p>
    <w:p>
      <w:pPr>
        <w:pStyle w:val="Heading1"/>
        <w:spacing w:after="120" w:before="300"/>
      </w:pPr>
      <w:r>
        <w:rPr>
          <w:rFonts w:ascii="Aptos" w:cs="Aptos" w:eastAsia="Aptos" w:hAnsi="Aptos"/>
          <w:b/>
          <w:bCs/>
          <w:i w:val="false"/>
          <w:iCs w:val="false"/>
          <w:color w:val="000000"/>
          <w:sz w:val="36"/>
          <w:szCs w:val="36"/>
        </w:rPr>
        <w:t xml:space="preserve">8. Phase 4: Containment</w:t>
      </w:r>
    </w:p>
    <w:p>
      <w:pPr>
        <w:spacing w:after="140" w:before="0"/>
        <w:jc w:val="left"/>
      </w:pPr>
      <w:r>
        <w:rPr>
          <w:rFonts w:ascii="Aptos" w:cs="Aptos" w:eastAsia="Aptos" w:hAnsi="Aptos"/>
          <w:b w:val="false"/>
          <w:bCs w:val="false"/>
          <w:i w:val="false"/>
          <w:iCs w:val="false"/>
          <w:color w:val="000000"/>
          <w:sz w:val="24"/>
          <w:szCs w:val="24"/>
        </w:rPr>
        <w:t xml:space="preserve">Containment prevents the incident from spreading. It happens in parallel with the notification assessment — not after it. Evidence preservation is mandatory during containment. Do not destroy evidence in the process of containing the incident.</w:t>
      </w:r>
    </w:p>
    <w:p>
      <w:pPr>
        <w:pStyle w:val="Heading2"/>
        <w:spacing w:after="100" w:before="200"/>
      </w:pPr>
      <w:r>
        <w:rPr>
          <w:rFonts w:ascii="Aptos" w:cs="Aptos" w:eastAsia="Aptos" w:hAnsi="Aptos"/>
          <w:b/>
          <w:bCs/>
          <w:i w:val="false"/>
          <w:iCs w:val="false"/>
          <w:color w:val="000000"/>
          <w:sz w:val="32"/>
          <w:szCs w:val="32"/>
        </w:rPr>
        <w:t xml:space="preserve">8.1 Immediate containment actions by incident type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Incident type</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Immediate containment steps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Credential compromise / account takeover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Disable the compromised account in Entra ID immediately.
2. Terminate all active sessions.
3. Reset credentials.
4. Review audit log for all actions performed by the account in the preceding 72 hours.
5. If the account had access to patient records: initiate CERT-In 6-hour assessment.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misconfiguration (data exposure)</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Correct the misconfiguration immediately (restore private access setting).
2. Do NOT delete access logs — they are CERT-In evidence.
3. Determine how long the misconfiguration was in place (CloudTrail/Activity Log).
4. Determine what data was accessible and whether any external access occurred.
5. Initiate CERT-In 6-hour assessment.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Ransomware / malware</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CrowdStrike automatic isolation — confirm it has triggered. If not, isolate affected endpoints manually.
2. Disconnect affected systems from the network (do not power off — preserve volatile memory evidence).
3. Do NOT pay any ransom without CISO and CEO approval. Never pay without legal advice.
4. Initiate CERT-In 6-hour assessment immediately.
5. Contact VaultArchive to confirm backup integrity (S3 Object Lock protects against backup encryption).</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 social engineering</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Identify the specific phishing email — obtain a copy for forensics.
2. Block the sending domain and IP at the email gateway.
3. Search for the same email in other mailboxes.
4. Identify which staff member interacted with the email and what they did.
5. If credentials were entered: treat as credential compromise (row above).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security breach</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Secure the area — prevent further unauthorised access.
2. Do NOT touch or move any items that may be evidence.
3. Contact IT Operations to assess whether any device was accessed or removed.
4. Check CCTV footage — preserve the recording immediately.</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Third-party vendor breach notification</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Confirm the notification in writing from the vendor.
2. Assess which MediSync data (if any) was affected — request specifics from the vendor.
3. Do not make public statements until the vendor's account is confirmed.
4. Initiate notification assessment as if MediSync had detected the breach directly.</w:t>
            </w:r>
          </w:p>
        </w:tc>
      </w:tr>
    </w:tbl>
    <w:p>
      <w:pPr>
        <w:pStyle w:val="Heading2"/>
        <w:spacing w:after="100" w:before="200"/>
      </w:pPr>
      <w:r>
        <w:rPr>
          <w:rFonts w:ascii="Aptos" w:cs="Aptos" w:eastAsia="Aptos" w:hAnsi="Aptos"/>
          <w:b/>
          <w:bCs/>
          <w:i w:val="false"/>
          <w:iCs w:val="false"/>
          <w:color w:val="000000"/>
          <w:sz w:val="32"/>
          <w:szCs w:val="32"/>
        </w:rPr>
        <w:t xml:space="preserve">8.2 Evidence preservation rules</w:t>
      </w:r>
    </w:p>
    <w:p>
      <w:pPr>
        <w:spacing w:after="140" w:before="0"/>
        <w:jc w:val="left"/>
      </w:pPr>
      <w:r>
        <w:rPr>
          <w:rFonts w:ascii="Aptos" w:cs="Aptos" w:eastAsia="Aptos" w:hAnsi="Aptos"/>
          <w:b w:val="false"/>
          <w:bCs w:val="false"/>
          <w:i w:val="false"/>
          <w:iCs w:val="false"/>
          <w:color w:val="000000"/>
          <w:sz w:val="24"/>
          <w:szCs w:val="24"/>
        </w:rPr>
        <w:t xml:space="preserve">Evidence is needed for three purposes: investigation, regulatory production (CERT-In may request logs within 24 hours), and potential legal proceedings. These rules apply from the moment an incident is declared: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Do not delete any logs, access records, or audit trails related to the incident. CERT-In may request logs for any period within the 180-day retention window.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Take screenshots of any relevant system states before changes are made (e.g., the misconfigured bucket access policy before it is corrected).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Preserve volatile data (running processes, network connections, memory contents) before taking any action that would cause a system restart.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Record every containment action with a timestamp and the name of the person who took it. This is the incident timeline — it must be accurate.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SOC Manager is the evidence custodian for the duration of the incident. Evidence requests from Legal, regulators, or management go through the SOC Manager.</w:t>
      </w:r>
    </w:p>
    <w:p>
      <w:pPr>
        <w:pStyle w:val="Heading1"/>
        <w:spacing w:after="120" w:before="300"/>
      </w:pPr>
      <w:r>
        <w:rPr>
          <w:rFonts w:ascii="Aptos" w:cs="Aptos" w:eastAsia="Aptos" w:hAnsi="Aptos"/>
          <w:b/>
          <w:bCs/>
          <w:i w:val="false"/>
          <w:iCs w:val="false"/>
          <w:color w:val="000000"/>
          <w:sz w:val="36"/>
          <w:szCs w:val="36"/>
        </w:rPr>
        <w:t xml:space="preserve">9. Phase 5: Eradication and Recovery</w:t>
      </w:r>
    </w:p>
    <w:p>
      <w:pPr>
        <w:spacing w:after="140" w:before="0"/>
        <w:jc w:val="left"/>
      </w:pPr>
      <w:r>
        <w:rPr>
          <w:rFonts w:ascii="Aptos" w:cs="Aptos" w:eastAsia="Aptos" w:hAnsi="Aptos"/>
          <w:b w:val="false"/>
          <w:bCs w:val="false"/>
          <w:i w:val="false"/>
          <w:iCs w:val="false"/>
          <w:color w:val="000000"/>
          <w:sz w:val="24"/>
          <w:szCs w:val="24"/>
        </w:rPr>
        <w:t xml:space="preserve">Eradication removes the root cause. Recovery restores systems to operational status. Do not proceed to recovery until eradication is confirmed — restoring a compromised system without removing the root cause resets the incident.</w:t>
      </w:r>
    </w:p>
    <w:p>
      <w:pPr>
        <w:pStyle w:val="Heading2"/>
        <w:spacing w:after="100" w:before="200"/>
      </w:pPr>
      <w:r>
        <w:rPr>
          <w:rFonts w:ascii="Aptos" w:cs="Aptos" w:eastAsia="Aptos" w:hAnsi="Aptos"/>
          <w:b/>
          <w:bCs/>
          <w:i w:val="false"/>
          <w:iCs w:val="false"/>
          <w:color w:val="000000"/>
          <w:sz w:val="32"/>
          <w:szCs w:val="32"/>
        </w:rPr>
        <w:t xml:space="preserve">9.1 Eradication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Identify the root cause: how did the incident occur? What vulnerability, misconfiguration, or human action enabled it?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Remove the root cause before restoring systems: patch the vulnerability, correct the configuration, revoke the credential, remove the malware.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Confirm eradication with a targeted scan or system check before recovery begins.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If the root cause cannot be confirmed as removed, do not restore the affected system — isolate it and operate without it until eradication is complete.</w:t>
      </w:r>
    </w:p>
    <w:p>
      <w:pPr>
        <w:pStyle w:val="Heading2"/>
        <w:spacing w:after="100" w:before="200"/>
      </w:pPr>
      <w:r>
        <w:rPr>
          <w:rFonts w:ascii="Aptos" w:cs="Aptos" w:eastAsia="Aptos" w:hAnsi="Aptos"/>
          <w:b/>
          <w:bCs/>
          <w:i w:val="false"/>
          <w:iCs w:val="false"/>
          <w:color w:val="000000"/>
          <w:sz w:val="32"/>
          <w:szCs w:val="32"/>
        </w:rPr>
        <w:t xml:space="preserve">9.2 Recovery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Restore from clean backups where system integrity is in doubt. VaultArchive holds MediSync's backup archives — coordinate recovery with Sana Al Farsi (Head of Cloud Infrastructure) and VaultArchive per the ISMS-OPS-007 (BCDR) and ISMS-OPS-008 (Backup &amp; Recovery) procedures.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Test restored systems before reconnecting them to the production network.</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Increase monitoring intensity on recovered systems for 72 hours post-recovery.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Notify affected customers when systems are restored. For enterprise customers: personal notification from the Head of Customer Success. For other customers: service status update.</w:t>
      </w:r>
    </w:p>
    <w:p>
      <w:pPr>
        <w:pStyle w:val="Heading2"/>
        <w:spacing w:after="100" w:before="200"/>
      </w:pPr>
      <w:r>
        <w:rPr>
          <w:rFonts w:ascii="Aptos" w:cs="Aptos" w:eastAsia="Aptos" w:hAnsi="Aptos"/>
          <w:b/>
          <w:bCs/>
          <w:i w:val="false"/>
          <w:iCs w:val="false"/>
          <w:color w:val="000000"/>
          <w:sz w:val="32"/>
          <w:szCs w:val="32"/>
        </w:rPr>
        <w:t xml:space="preserve">9.3 Regulatory notification timing</w:t>
      </w:r>
    </w:p>
    <w:p>
      <w:pPr>
        <w:spacing w:after="140" w:before="0"/>
        <w:jc w:val="left"/>
      </w:pPr>
      <w:r>
        <w:rPr>
          <w:rFonts w:ascii="Aptos" w:cs="Aptos" w:eastAsia="Aptos" w:hAnsi="Aptos"/>
          <w:b w:val="false"/>
          <w:bCs w:val="false"/>
          <w:i w:val="false"/>
          <w:iCs w:val="false"/>
          <w:color w:val="000000"/>
          <w:sz w:val="24"/>
          <w:szCs w:val="24"/>
        </w:rPr>
        <w:t xml:space="preserve">Regulatory notifications are not dependent on recovery being complete. The CERT-In 6-hour obligation starts from awareness — not from when the incident is resolved. File the CERT-In notification with the information available at the time, and follow up with supplementary notifications as more information becomes available.</w:t>
      </w:r>
    </w:p>
    <w:p>
      <w:pPr>
        <w:pStyle w:val="Heading1"/>
        <w:spacing w:after="120" w:before="300"/>
      </w:pPr>
      <w:r>
        <w:rPr>
          <w:rFonts w:ascii="Aptos" w:cs="Aptos" w:eastAsia="Aptos" w:hAnsi="Aptos"/>
          <w:b/>
          <w:bCs/>
          <w:i w:val="false"/>
          <w:iCs w:val="false"/>
          <w:color w:val="000000"/>
          <w:sz w:val="36"/>
          <w:szCs w:val="36"/>
        </w:rPr>
        <w:t xml:space="preserve">10. Phase 6: Post-Incident Review</w:t>
      </w:r>
    </w:p>
    <w:p>
      <w:pPr>
        <w:spacing w:after="140" w:before="0"/>
        <w:jc w:val="left"/>
      </w:pPr>
      <w:r>
        <w:rPr>
          <w:rFonts w:ascii="Aptos" w:cs="Aptos" w:eastAsia="Aptos" w:hAnsi="Aptos"/>
          <w:b w:val="false"/>
          <w:bCs w:val="false"/>
          <w:i w:val="false"/>
          <w:iCs w:val="false"/>
          <w:color w:val="000000"/>
          <w:sz w:val="24"/>
          <w:szCs w:val="24"/>
        </w:rPr>
        <w:t xml:space="preserve">Every declared incident — regardless of severity — receives a post-incident review within 14 days of resolution. The review is not about assigning blame. It is about producing information that makes the next incident easier to manage.</w:t>
      </w:r>
    </w:p>
    <w:p>
      <w:pPr>
        <w:pStyle w:val="Heading2"/>
        <w:spacing w:after="100" w:before="200"/>
      </w:pPr>
      <w:r>
        <w:rPr>
          <w:rFonts w:ascii="Aptos" w:cs="Aptos" w:eastAsia="Aptos" w:hAnsi="Aptos"/>
          <w:b/>
          <w:bCs/>
          <w:i w:val="false"/>
          <w:iCs w:val="false"/>
          <w:color w:val="000000"/>
          <w:sz w:val="32"/>
          <w:szCs w:val="32"/>
        </w:rPr>
        <w:t xml:space="preserve">10.1 Review scope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Review question</w:t>
            </w:r>
          </w:p>
        </w:tc>
        <w:tc>
          <w:tcPr>
            <w:tcW w:type="dxa" w:w="7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Purpose</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happened, in what sequence?</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Establishes the incident timeline. The timeline is the core of any regulatory submission or legal proceeding.</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was the incident detected?</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it was detected by a monitoring alert: was the alert rule appropriate? If it was detected by accident or by a staff report: why did monitoring not catch it first?</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worked well in the response?</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Identifies controls that are effective — confirms existing evidence in ISMS-OPS-002 or upgrades their status.</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should have gone differently?</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Identifies gaps in the procedure, in training, or in technical controls that the incident exposed.</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risk register need updating?</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the incident revealed a risk that is not in ISMS-PLN-004, or changed the score of an existing risk, the register must be updated within 5 days of the review.</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awareness programme need updating?</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the incident was enabled by a human failure — phishing click, misconfiguration, unauthorised data handling — the relevant awareness module should be reviewed and updated if necessary.</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regulatory lessons apply?</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Were all notification obligations met? Were the notification timelines met? Were the notification content requirements complete? If not, document the gap and update this procedure.</w:t>
            </w:r>
          </w:p>
        </w:tc>
      </w:tr>
    </w:tbl>
    <w:p>
      <w:pPr>
        <w:pStyle w:val="Heading2"/>
        <w:spacing w:after="100" w:before="200"/>
      </w:pPr>
      <w:r>
        <w:rPr>
          <w:rFonts w:ascii="Aptos" w:cs="Aptos" w:eastAsia="Aptos" w:hAnsi="Aptos"/>
          <w:b/>
          <w:bCs/>
          <w:i w:val="false"/>
          <w:iCs w:val="false"/>
          <w:color w:val="000000"/>
          <w:sz w:val="32"/>
          <w:szCs w:val="32"/>
        </w:rPr>
        <w:t xml:space="preserve">10.2 Review output</w:t>
      </w:r>
    </w:p>
    <w:p>
      <w:pPr>
        <w:spacing w:after="140" w:before="0"/>
        <w:jc w:val="left"/>
      </w:pPr>
      <w:r>
        <w:rPr>
          <w:rFonts w:ascii="Aptos" w:cs="Aptos" w:eastAsia="Aptos" w:hAnsi="Aptos"/>
          <w:b w:val="false"/>
          <w:bCs w:val="false"/>
          <w:i w:val="false"/>
          <w:iCs w:val="false"/>
          <w:color w:val="000000"/>
          <w:sz w:val="24"/>
          <w:szCs w:val="24"/>
        </w:rPr>
        <w:t xml:space="preserve">The post-incident review produces: (1) a written review report (stored in OPS-006 under the incident record); (2) any corrective actions logged in ISMS-IMP-002 (Nonconformity Register) if a procedure failure occurred; (3) any risk register updates (logged in ISMS-PLN-004 with a change record); and (4) any awareness programme updates (logged in ISMS-SUP-005).</w:t>
      </w:r>
    </w:p>
    <w:p>
      <w:pPr>
        <w:spacing w:after="140" w:before="60"/>
        <w:jc w:val="left"/>
      </w:pPr>
      <w:r>
        <w:rPr>
          <w:rFonts w:ascii="Aptos" w:cs="Aptos" w:eastAsia="Aptos" w:hAnsi="Aptos"/>
          <w:b w:val="false"/>
          <w:bCs w:val="false"/>
          <w:i w:val="false"/>
          <w:iCs w:val="false"/>
          <w:color w:val="000000"/>
          <w:sz w:val="24"/>
          <w:szCs w:val="24"/>
        </w:rPr>
        <w:t xml:space="preserve">Review reports for HIGH and CRITICAL incidents are presented at the next quarterly Steering Committee meeting as part of the ISMS management reporting.</w:t>
      </w:r>
    </w:p>
    <w:p>
      <w:pPr>
        <w:pStyle w:val="Heading1"/>
        <w:spacing w:after="120" w:before="300"/>
      </w:pPr>
      <w:r>
        <w:rPr>
          <w:rFonts w:ascii="Aptos" w:cs="Aptos" w:eastAsia="Aptos" w:hAnsi="Aptos"/>
          <w:b/>
          <w:bCs/>
          <w:i w:val="false"/>
          <w:iCs w:val="false"/>
          <w:color w:val="000000"/>
          <w:sz w:val="36"/>
          <w:szCs w:val="36"/>
        </w:rPr>
        <w:t xml:space="preserve">11. Incident Escalation Contacts</w:t>
      </w:r>
    </w:p>
    <w:p>
      <w:pPr>
        <w:spacing w:after="140" w:before="0"/>
        <w:jc w:val="left"/>
      </w:pPr>
      <w:r>
        <w:rPr>
          <w:rFonts w:ascii="Aptos" w:cs="Aptos" w:eastAsia="Aptos" w:hAnsi="Aptos"/>
          <w:b w:val="false"/>
          <w:bCs w:val="false"/>
          <w:i w:val="false"/>
          <w:iCs w:val="false"/>
          <w:color w:val="000000"/>
          <w:sz w:val="24"/>
          <w:szCs w:val="24"/>
        </w:rPr>
        <w:t xml:space="preserve">The following contacts are effective as at 31 October 2026. The ISMS Manager updates this list when any contact changes. Do not use the Master List version — use this document version; it is kept current.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Contact and escalation conditions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 First-line incident lead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Direct escalation from SOC analyst for all MEDIUM and above incidents. Available by mobile for Critical incidents outside business hours.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Incident Commander</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Escalated to by SOC Manager for all HIGH and CRITICAL incidents. Makes all regulatory notification decisions. Available by mobile 24/7.</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Deputy Incident Commander</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Rohan Sharma (Deputy ISMS Manager). Assumes Incident Commander role if CISO is unreachable. Notifies CEO immediately on assuming command.</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 Regulatory notifications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Involved in all notification decisions (all three tracks). Leads DPDP Act and UAE PDPL notifications. Available for urgent notifications by mobile.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 — Technical recovery</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Leads cloud infrastructure containment, evidence preservation, and recovery. Coordinates with VaultArchive on backup recovery.</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Customer Success — Customer communications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Divya Nair. Notifies enterprise customers of incidents affecting their data. Holds current notification contact list for all 14 enterprise customers.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MSSP — After-hours escalation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24/7 SOC line (number in the SentinelWatch security schedule — not listed in this document for security reasons). Escalates High and Critical alerts to MediSync on-call SOC engineer.</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 Backup recovery coordination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emergency contact (in VaultArchive security schedule). Available for backup recovery initiation on request from Sana Al Farsi or CISO.</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Major incidents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Notified by CISO for all CRITICAL incidents and any incident requiring regulatory notification. Not operationally involved in incident management — approves public communications.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General security report channel</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security@medisync.io — monitored by SOC during business hours, SentinelWatch outside business hours. 30-minute acknowledgement SLA for staff reports.</w:t>
            </w:r>
          </w:p>
        </w:tc>
      </w:tr>
    </w:tbl>
    <w:p>
      <w:pPr>
        <w:pStyle w:val="Heading1"/>
        <w:spacing w:after="120" w:before="300"/>
      </w:pPr>
      <w:r>
        <w:rPr>
          <w:rFonts w:ascii="Aptos" w:cs="Aptos" w:eastAsia="Aptos" w:hAnsi="Aptos"/>
          <w:b/>
          <w:bCs/>
          <w:i w:val="false"/>
          <w:iCs w:val="false"/>
          <w:color w:val="000000"/>
          <w:sz w:val="36"/>
          <w:szCs w:val="36"/>
        </w:rPr>
        <w:t xml:space="preserve">12. Tabletop Exercise Record — 20 October 2026</w:t>
      </w:r>
    </w:p>
    <w:p>
      <w:pPr>
        <w:spacing w:after="140" w:before="0"/>
        <w:jc w:val="left"/>
      </w:pPr>
      <w:r>
        <w:rPr>
          <w:rFonts w:ascii="Aptos" w:cs="Aptos" w:eastAsia="Aptos" w:hAnsi="Aptos"/>
          <w:b w:val="false"/>
          <w:bCs w:val="false"/>
          <w:i w:val="false"/>
          <w:iCs w:val="false"/>
          <w:color w:val="000000"/>
          <w:sz w:val="24"/>
          <w:szCs w:val="24"/>
        </w:rPr>
        <w:t xml:space="preserve">A tabletop exercise was conducted on 20 October 2026 to test this procedure. The exercise used a phishing-based credential compromise scenario that escalated to a potential patient data exposure. Key findings and resulting procedure changes: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5080"/>
        <w:gridCol w:w="5000"/>
      </w:tblGrid>
      <w:tr>
        <w:trPr>
          <w:cantSplit/>
          <w:tblHeader/>
        </w:trPr>
        <w:tc>
          <w:tcPr>
            <w:tcW w:type="dxa" w:w="5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Tabletop finding</w:t>
            </w:r>
          </w:p>
        </w:tc>
        <w:tc>
          <w:tcPr>
            <w:tcW w:type="dxa" w:w="5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Procedure change made</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6-hour CERT-In clock was not started until 90 minutes after the initial detection, because the SOC analyst waited for a confirmed classification before triggering the notification assessment. This means we would have had 4.5 hours, not 6, to file a notification.</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Section 5 now explicitly states: detection time is the start of the incident timeline. Section 7 explicitly states: CERT-In 6-hour assessment is triggered by any MEDIUM or above classification — not by confirmed breach. Section 7.1 now includes the "CRITICAL RULE" notice in bold.</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escalation to the Head of Legal was delayed because it was unclear who was responsible for initiating the DPDP Act notification assessment. Both the SOC Manager and the CISO assumed the other had contacted Legal.</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Section 7.2 now names the Head of Legal as the sole notification owner for the DPDP Act track. The CISO is responsible for initiating the Legal notification (not assuming it has happened). Confirmed in the escalation contacts table (Section 11).</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MSSP escalation path was informal — the analyst had to find a mobile number from a spreadsheet rather than having a documented escalation channel.</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Section 11 now references the SentinelWatch security schedule as the authoritative source for the escalation number. The SentinelWatch security schedule is the correct document to update when the number changes — not this procedure.</w:t>
            </w:r>
          </w:p>
        </w:tc>
      </w:tr>
      <w:tr>
        <w:trPr>
          <w:cantSplit/>
        </w:trPr>
        <w:tc>
          <w:tcPr>
            <w:tcW w:type="dxa" w:w="5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containment steps for cloud misconfiguration did not explicitly include "preserve the CloudTrail log showing when the misconfiguration was made" as a step. An analyst corrected the configuration before checking logs.</w:t>
            </w:r>
          </w:p>
        </w:tc>
        <w:tc>
          <w:tcPr>
            <w:tcW w:type="dxa" w:w="5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Section 8.1 now explicitly includes "do not delete access logs — they are CERT-In evidence" as the second step in the cloud misconfiguration containment sequence. Screenshot instruction added.</w:t>
            </w:r>
          </w:p>
        </w:tc>
      </w:tr>
      <w:tr>
        <w:trPr>
          <w:cantSplit/>
        </w:trPr>
        <w:tc>
          <w:tcPr>
            <w:tcW w:type="dxa" w:w="5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Post-incident review was assumed to be optional for LOW severity incidents.</w:t>
            </w:r>
          </w:p>
        </w:tc>
        <w:tc>
          <w:tcPr>
            <w:tcW w:type="dxa" w:w="5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Section 10 now states: every declared incident receives a post-incident review. The scope and depth are proportionate to severity, but the review is not optional for any declared incident.</w:t>
            </w:r>
          </w:p>
        </w:tc>
      </w:tr>
    </w:tbl>
    <w:p>
      <w:pPr>
        <w:pStyle w:val="Heading1"/>
        <w:spacing w:after="120" w:before="300"/>
      </w:pPr>
      <w:r>
        <w:rPr>
          <w:rFonts w:ascii="Aptos" w:cs="Aptos" w:eastAsia="Aptos" w:hAnsi="Aptos"/>
          <w:b/>
          <w:bCs/>
          <w:i w:val="false"/>
          <w:iCs w:val="false"/>
          <w:color w:val="000000"/>
          <w:sz w:val="36"/>
          <w:szCs w:val="36"/>
        </w:rPr>
        <w:t xml:space="preserve">13.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 Procedure Owner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Procedure prepared and operationally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Oct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containment and recovery steps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Oct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(UAE)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three regulatory notification tracks confirmed as legally accurate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Oct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Procedure approved — closes R-006 (HIGH residual risk)</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Vikram Sundaram, Chief Information Security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ISMS-OPS-005  |  Incident Management Procedure  |  Confidential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rFonts w:ascii="Aptos" w:cs="Aptos" w:eastAsia="Aptos" w:hAnsi="Aptos"/>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2026-09-02T04:49:27.829Z</dcterms:created>
  <dcterms:modified xsi:type="dcterms:W3CDTF">2026-09-02T04:49:27.840Z</dcterms:modified>
</cp:coreProperties>
</file>

<file path=docProps/custom.xml><?xml version="1.0" encoding="utf-8"?>
<Properties xmlns="http://schemas.openxmlformats.org/officeDocument/2006/custom-properties" xmlns:vt="http://schemas.openxmlformats.org/officeDocument/2006/docPropsVTypes"/>
</file>