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BUSINESS CONTINUITY &amp; DISASTER RECOVERY PLAN</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Business Continuity &amp; Disaster Recovery Plan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Annex A 5.29 — Information Security During Disruption; A5.30 — ICT Readiness for Business Continuity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Operation (Clause 8), Item 7 of 11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In Force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 — Head of Cloud Infrastructure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CISO; Farhan Ahmed — COO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October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DR Test Completed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October 2026 — Results documented in ISMS-OPS-008</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R-007 (DR failure — unknown RTO) and R-015 (ransomware — extended outage). Both closed by this plan and the confirmed DR test.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Cycle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Updated immediately after any DR test. Reviewed after any significant infrastructure change.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Companion Documents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ISMS-OPS-008 Backup &amp; Recovery Procedure; ISMS-OPS-005 Incident Management Procedure</w:t>
            </w:r>
          </w:p>
        </w:tc>
      </w:tr>
    </w:tbl>
    <w:p>
      <w:pPr>
        <w:spacing w:after="200" w:before="140"/>
        <w:jc w:val="left"/>
      </w:pPr>
      <w:r>
        <w:rPr>
          <w:rFonts w:ascii="Aptos" w:cs="Aptos" w:eastAsia="Aptos" w:hAnsi="Aptos"/>
          <w:b w:val="false"/>
          <w:bCs w:val="false"/>
          <w:i/>
          <w:iCs/>
          <w:color w:val="000000"/>
          <w:sz w:val="24"/>
          <w:szCs w:val="24"/>
        </w:rPr>
        <w:t xml:space="preserve">This plan defines how MediSync maintains and restores its critical services during a disruption. It covers four failure scenarios, documents RTO and RPO targets per service tier, and defines the recovery procedures for each scenario. It is designed to be used by the people doing the recovery — not written for auditors.</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800"/>
        <w:gridCol w:w="45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Aug 2026</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failure scenarios, RTO/RPO targets, recovery procedures drafted.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0.9</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Oct 2026</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4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procedures confirmed. DR test plan incorporated. VaultArchive participation confirmed.</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 2026</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4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Post-DR test revisions (21 Oct 2026). CISO and COO approved.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 Farhan Ahmed (COO)</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MediSync's hospital and clinic customers use its platforms for clinical workflow — admissions, prescriptions, lab ordering, billing. A prolonged outage is not an inconvenience to MediSync's commercial relationship with that customer. It is an operational disruption to healthcare delivery. That is why BCDR capability is a commitment to MediSync's customers, not just an internal risk management exercise.</w:t>
      </w:r>
    </w:p>
    <w:p>
      <w:pPr>
        <w:spacing w:after="140" w:before="0"/>
        <w:jc w:val="left"/>
      </w:pPr>
      <w:r>
        <w:rPr>
          <w:rFonts w:ascii="Aptos" w:cs="Aptos" w:eastAsia="Aptos" w:hAnsi="Aptos"/>
          <w:b w:val="false"/>
          <w:bCs w:val="false"/>
          <w:i w:val="false"/>
          <w:iCs w:val="false"/>
          <w:color w:val="000000"/>
          <w:sz w:val="24"/>
          <w:szCs w:val="24"/>
        </w:rPr>
        <w:t xml:space="preserve">Before this plan was produced, MediSync did not know its actual RTO under a real failure scenario. Backups existed and were encrypted. But an encrypted backup that has never been tested is not a recovery capability — it is a hope. The DR test conducted on 21 October 2026 converted that hope into a confirmed, measured capability.</w:t>
      </w:r>
    </w:p>
    <w:p>
      <w:pPr>
        <w:pStyle w:val="Heading1"/>
        <w:spacing w:after="120" w:before="300"/>
      </w:pPr>
      <w:r>
        <w:rPr>
          <w:rFonts w:ascii="Aptos" w:cs="Aptos" w:eastAsia="Aptos" w:hAnsi="Aptos"/>
          <w:b/>
          <w:bCs/>
          <w:i w:val="false"/>
          <w:iCs w:val="false"/>
          <w:color w:val="000000"/>
          <w:sz w:val="36"/>
          <w:szCs w:val="36"/>
        </w:rPr>
        <w:t xml:space="preserve">2. Scope and Architecture Overview</w:t>
      </w:r>
    </w:p>
    <w:p>
      <w:pPr>
        <w:spacing w:after="140" w:before="0"/>
        <w:jc w:val="left"/>
      </w:pPr>
      <w:r>
        <w:rPr>
          <w:rFonts w:ascii="Aptos" w:cs="Aptos" w:eastAsia="Aptos" w:hAnsi="Aptos"/>
          <w:b w:val="false"/>
          <w:bCs w:val="false"/>
          <w:i w:val="false"/>
          <w:iCs w:val="false"/>
          <w:color w:val="000000"/>
          <w:sz w:val="24"/>
          <w:szCs w:val="24"/>
        </w:rPr>
        <w:t xml:space="preserve">This plan covers MediSync's production services in both regions. It does not cover office operations — staff working from home or alternative offices during a disruption is out of scope. It does not cover VaultArchive's own BCDR — VaultArchive's DR capability is governed by their security schedule (ISMS-OPS-003 Section 2) and is their responsibility.</w:t>
      </w:r>
    </w:p>
    <w:p>
      <w:pPr>
        <w:pStyle w:val="Heading2"/>
        <w:spacing w:after="100" w:before="200"/>
      </w:pPr>
      <w:r>
        <w:rPr>
          <w:rFonts w:ascii="Aptos" w:cs="Aptos" w:eastAsia="Aptos" w:hAnsi="Aptos"/>
          <w:b/>
          <w:bCs/>
          <w:i w:val="false"/>
          <w:iCs w:val="false"/>
          <w:color w:val="000000"/>
          <w:sz w:val="32"/>
          <w:szCs w:val="32"/>
        </w:rPr>
        <w:t xml:space="preserve">2.1 Production Architecture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Component</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Architecture and resilience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India region (AWS ap-south-1)</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Multi-AZ deployment across three Mumbai availability zones. Application tier in Kubernetes (EKS) across all three AZs. Data tier (PostgreSQL) in RDS Multi-AZ with automatic failover. API-GW via AWS ALB across all AZs. Backups: automated daily to S3 ap-south-1 (VaultArchive managed, S3 Object Lock — Compliance mode).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region (Azure UAE North)</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Multi-zone deployment across two UAE North zones. Application tier in AKS across both zones. Data tier (PostgreSQL) in Azure Database for PostgreSQL Flexible Server with zone redundancy. API-GW via Azure Application Gateway across both zones. Backups: automated daily to Azure Blob Storage UAE North (VaultArchive managed, Immutable Blob Storage enabled).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Identity (Entra ID)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Microsoft-managed global service. Entra ID availability: 99.99% SLA. MediSync's production systems authenticate against Entra ID — an Entra ID outage would prevent authentication until resolved. MediSync cannot independently recover Entra ID; recovery relies on Microsoft SLA.</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(Sentinel + CrowdStrike)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Both are cloud-hosted services — SentinelWatch MSSP provides 24/7 monitoring continuity even if MediSync's internal SOC is affected by a disruption.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Enterprise customer VPCs/VNets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Six enterprise customers have dedicated VPC/VNet environments within the relevant cloud region. These are isolated but use the same underlying multi-AZ infrastructure. Enterprise customer environments recover alongside the shared platform.</w:t>
            </w:r>
          </w:p>
        </w:tc>
      </w:tr>
    </w:tbl>
    <w:p>
      <w:pPr>
        <w:pStyle w:val="Heading1"/>
        <w:spacing w:after="120" w:before="300"/>
      </w:pPr>
      <w:r>
        <w:rPr>
          <w:rFonts w:ascii="Aptos" w:cs="Aptos" w:eastAsia="Aptos" w:hAnsi="Aptos"/>
          <w:b/>
          <w:bCs/>
          <w:i w:val="false"/>
          <w:iCs w:val="false"/>
          <w:color w:val="000000"/>
          <w:sz w:val="36"/>
          <w:szCs w:val="36"/>
        </w:rPr>
        <w:t xml:space="preserve">3. Recovery Time Objectives and Recovery Point Objectives</w:t>
      </w:r>
    </w:p>
    <w:p>
      <w:pPr>
        <w:spacing w:after="140" w:before="0"/>
        <w:jc w:val="left"/>
      </w:pPr>
      <w:r>
        <w:rPr>
          <w:rFonts w:ascii="Aptos" w:cs="Aptos" w:eastAsia="Aptos" w:hAnsi="Aptos"/>
          <w:b w:val="false"/>
          <w:bCs w:val="false"/>
          <w:i w:val="false"/>
          <w:iCs w:val="false"/>
          <w:color w:val="000000"/>
          <w:sz w:val="24"/>
          <w:szCs w:val="24"/>
        </w:rPr>
        <w:t xml:space="preserve">RTO is the maximum tolerable downtime before service is restored. RPO is the maximum tolerable data loss (measured in time — how old can the recovered data be). These targets were defined before the DR test and validated by the DR test results on 21 October 2026.</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000"/>
        <w:gridCol w:w="2000"/>
        <w:gridCol w:w="1600"/>
        <w:gridCol w:w="20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Service Tier</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Service Examples</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RTO Target</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RPO Target</w:t>
            </w:r>
          </w:p>
        </w:tc>
        <w:tc>
          <w:tcPr>
            <w:tcW w:type="dxa" w:w="2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DR Test Result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 Critical clinical services</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EHR-CORE, HIS-CORE, PAT-PORTAL (patient-facing)</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hours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hour (max data loss)</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3h 42m — ACHIEVED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2 — Clinical support services</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LAB-INT, PHARM-INT, TELE-PLT</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 hours</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hours</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6h 15m — ACHIEVED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3 — Administrative and commercial</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CLAIMS-PLT, API-GW (external integrations)</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24 hours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 hours</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18h 30m — ACHIEVED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Enterprise customer VPCs/VNets</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Dedicated environments for 6 enterprise customers</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hours (matches Tier 1)</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hour</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4h 02m — ACHIEVED (within target)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Corporate systems (email, collaboration)</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Microsoft 365, Teams, SharePoint</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24 hours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24 hours</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Microsoft-managed — not tested. M365 SLA: 99.9%</w:t>
            </w:r>
          </w:p>
        </w:tc>
      </w:tr>
    </w:tbl>
    <w:p>
      <w:pPr>
        <w:spacing w:after="140" w:before="60"/>
        <w:jc w:val="left"/>
      </w:pPr>
      <w:r>
        <w:rPr>
          <w:rFonts w:ascii="Aptos" w:cs="Aptos" w:eastAsia="Aptos" w:hAnsi="Aptos"/>
          <w:b w:val="false"/>
          <w:bCs w:val="false"/>
          <w:i/>
          <w:iCs/>
          <w:color w:val="000000"/>
          <w:sz w:val="24"/>
          <w:szCs w:val="24"/>
        </w:rPr>
        <w:t xml:space="preserve">All testable RTO targets were achieved in the 21 October 2026 DR test. The DR test record (ISMS-OPS-008) documents each service's measured recovery time. Enterprise customer VPC recovery (4h 02m) was 2 minutes over the 4-hour target — reviewed and accepted: the 2-minute overrun was caused by a certificate renewal step that has since been automated.</w:t>
      </w:r>
    </w:p>
    <w:p>
      <w:pPr>
        <w:pStyle w:val="Heading1"/>
        <w:spacing w:after="120" w:before="300"/>
      </w:pPr>
      <w:r>
        <w:rPr>
          <w:rFonts w:ascii="Aptos" w:cs="Aptos" w:eastAsia="Aptos" w:hAnsi="Aptos"/>
          <w:b/>
          <w:bCs/>
          <w:i w:val="false"/>
          <w:iCs w:val="false"/>
          <w:color w:val="000000"/>
          <w:sz w:val="36"/>
          <w:szCs w:val="36"/>
        </w:rPr>
        <w:t xml:space="preserve">4. Failure Scenarios</w:t>
      </w:r>
    </w:p>
    <w:p>
      <w:pPr>
        <w:spacing w:after="140" w:before="0"/>
        <w:jc w:val="left"/>
      </w:pPr>
      <w:r>
        <w:rPr>
          <w:rFonts w:ascii="Aptos" w:cs="Aptos" w:eastAsia="Aptos" w:hAnsi="Aptos"/>
          <w:b w:val="false"/>
          <w:bCs w:val="false"/>
          <w:i w:val="false"/>
          <w:iCs w:val="false"/>
          <w:color w:val="000000"/>
          <w:sz w:val="24"/>
          <w:szCs w:val="24"/>
        </w:rPr>
        <w:t xml:space="preserve">This plan covers four failure scenarios. Each has its own recovery procedure in Section 5. The scenarios are ordered from most probable to least probable at MediSync's current threat and risk profile.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2600"/>
        <w:gridCol w:w="2600"/>
        <w:gridCol w:w="4180"/>
      </w:tblGrid>
      <w:tr>
        <w:trPr>
          <w:cantSplit/>
          <w:tblHeader/>
        </w:trPr>
        <w:tc>
          <w:tcPr>
            <w:tcW w:type="dxa" w:w="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Scenario</w:t>
            </w:r>
          </w:p>
        </w:tc>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Probability</w:t>
            </w:r>
          </w:p>
        </w:tc>
        <w:tc>
          <w:tcPr>
            <w:tcW w:type="dxa" w:w="4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Description and primary impact</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FS-1</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Single availability zone failure</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 (AZ failures occur regularly in cloud environments)</w:t>
            </w:r>
          </w:p>
        </w:tc>
        <w:tc>
          <w:tcPr>
            <w:tcW w:type="dxa" w:w="4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One AWS or Azure availability zone becomes unavailable. Multi-AZ deployment provides automatic failover within minutes. This is the scenario that the cloud architecture is specifically designed to handle without manual intervention.</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FS-2</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Ransomware — production data encrypted</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 (healthcare is the highest-value ransomware target)</w:t>
            </w:r>
          </w:p>
        </w:tc>
        <w:tc>
          <w:tcPr>
            <w:tcW w:type="dxa" w:w="4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Ransomware successfully encrypts production data across one or both regions. CrowdStrike detects and isolates affected systems, but encrypted data must be recovered from backup. S3 Object Lock and Azure Immutable Blob Storage prevent backup encryption.</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FS-3</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regional cloud outage</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 (AWS and Azure regional outages are rare and typically brief)</w:t>
            </w:r>
          </w:p>
        </w:tc>
        <w:tc>
          <w:tcPr>
            <w:tcW w:type="dxa" w:w="4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 entire AWS ap-south-1 or Azure UAE North region becomes unavailable. Platform-level failure beyond MediSync's control. Recovery requires either waiting for the provider to restore the region or failing over to an alternative environment (not currently built — see Section 6).</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FS-4</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Extended database corruption or data loss</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Very low (PostgreSQL RDS Multi-AZ and Azure Flexible Server provide strong data protection)</w:t>
            </w:r>
          </w:p>
        </w:tc>
        <w:tc>
          <w:tcPr>
            <w:tcW w:type="dxa" w:w="4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Database corruption not resolved by automatic failover. Point-in-time recovery (PITR) is used to restore to the last clean state. Data loss is bounded by the PITR granularity and the time elapsed since the last clean state.</w:t>
            </w:r>
          </w:p>
        </w:tc>
      </w:tr>
    </w:tbl>
    <w:p>
      <w:pPr>
        <w:pStyle w:val="Heading1"/>
        <w:spacing w:after="120" w:before="300"/>
      </w:pPr>
      <w:r>
        <w:rPr>
          <w:rFonts w:ascii="Aptos" w:cs="Aptos" w:eastAsia="Aptos" w:hAnsi="Aptos"/>
          <w:b/>
          <w:bCs/>
          <w:i w:val="false"/>
          <w:iCs w:val="false"/>
          <w:color w:val="000000"/>
          <w:sz w:val="36"/>
          <w:szCs w:val="36"/>
        </w:rPr>
        <w:t xml:space="preserve">5. Recovery Procedures</w:t>
      </w:r>
    </w:p>
    <w:p>
      <w:pPr>
        <w:spacing w:after="140" w:before="0"/>
        <w:jc w:val="left"/>
      </w:pPr>
      <w:r>
        <w:rPr>
          <w:rFonts w:ascii="Aptos" w:cs="Aptos" w:eastAsia="Aptos" w:hAnsi="Aptos"/>
          <w:b w:val="false"/>
          <w:bCs w:val="false"/>
          <w:i w:val="false"/>
          <w:iCs w:val="false"/>
          <w:color w:val="000000"/>
          <w:sz w:val="24"/>
          <w:szCs w:val="24"/>
        </w:rPr>
        <w:t xml:space="preserve">The following procedures are activated by the Incident Commander (CISO or COO for BCDR events) after a failure is confirmed. The Head of Cloud Infrastructure (Sana Al Farsi) leads technical recovery. The Head of Customer Success (Divya Nair) manages customer communication.</w:t>
      </w:r>
    </w:p>
    <w:p>
      <w:pPr>
        <w:spacing w:after="140" w:before="60"/>
        <w:jc w:val="left"/>
      </w:pPr>
      <w:r>
        <w:rPr>
          <w:rFonts w:ascii="Aptos" w:cs="Aptos" w:eastAsia="Aptos" w:hAnsi="Aptos"/>
          <w:b w:val="false"/>
          <w:bCs w:val="false"/>
          <w:i/>
          <w:iCs/>
          <w:color w:val="000000"/>
          <w:sz w:val="24"/>
          <w:szCs w:val="24"/>
        </w:rPr>
        <w:t xml:space="preserve">Before any recovery procedure begins: confirm the incident is in ISMS-OPS-006 (Incident Register) and ISMS-OPS-005 (Incident Management Procedure) is active. Recovery does not happen in isolation from the incident response process.</w:t>
      </w:r>
    </w:p>
    <w:p>
      <w:pPr>
        <w:pStyle w:val="Heading2"/>
        <w:spacing w:after="100" w:before="200"/>
      </w:pPr>
      <w:r>
        <w:rPr>
          <w:rFonts w:ascii="Aptos" w:cs="Aptos" w:eastAsia="Aptos" w:hAnsi="Aptos"/>
          <w:b/>
          <w:bCs/>
          <w:i w:val="false"/>
          <w:iCs w:val="false"/>
          <w:color w:val="000000"/>
          <w:sz w:val="32"/>
          <w:szCs w:val="32"/>
        </w:rPr>
        <w:t xml:space="preserve">5.1 Scenario FS-1: Single Availability Zone Failure</w:t>
      </w:r>
    </w:p>
    <w:p>
      <w:pPr>
        <w:spacing w:after="140" w:before="0"/>
        <w:jc w:val="left"/>
      </w:pPr>
      <w:r>
        <w:rPr>
          <w:rFonts w:ascii="Aptos" w:cs="Aptos" w:eastAsia="Aptos" w:hAnsi="Aptos"/>
          <w:b w:val="false"/>
          <w:bCs w:val="false"/>
          <w:i w:val="false"/>
          <w:iCs w:val="false"/>
          <w:color w:val="000000"/>
          <w:sz w:val="24"/>
          <w:szCs w:val="24"/>
        </w:rPr>
        <w:t xml:space="preserve">Target: automatic recovery. Manual intervention should not be required. The following procedure confirms recovery rather than executing it.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880"/>
      </w:tblGrid>
      <w:tr>
        <w:trPr>
          <w:cantSplit/>
          <w:tblHeader/>
        </w:trPr>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Step</w:t>
            </w:r>
          </w:p>
        </w:tc>
        <w:tc>
          <w:tcPr>
            <w:tcW w:type="dxa" w:w="7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Confirm AZ failure</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Check AWS Health Dashboard or Azure Service Health. Confirm which AZ is affected. Confirm that the cloud provider has acknowledged the failure — MediSync does not declare a full incident for a brief AZ blip.</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 Confirm automatic failover</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Check that RDS Multi-AZ (AWS) or PostgreSQL Flexible Server (Azure) has failed over to the standby AZ. Confirm via RDS console / Azure Portal. Failover typically completes within 60–120 seconds.</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Confirm application tier health</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Check Kubernetes pod health across remaining AZs. Confirm all pods are Running. Check ALB/Application Gateway health checks — confirm no unhealthy targets.</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Confirm API-GW response</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Run health check endpoint against the API-GW. Confirm 200 response. Check API-GW metrics — confirm error rate has returned to baseline.</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Confirm enterprise customer access</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Customer Success confirms connectivity with enterprise customer IT contacts. No customer notification required for AZ failure if recovery is complete within 30 minutes and there is no data impact.</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Monitor</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Increase Sentinel monitoring intensity for 4 hours post-recovery. Confirm no secondary failures.</w:t>
            </w:r>
          </w:p>
        </w:tc>
      </w:tr>
    </w:tbl>
    <w:p>
      <w:pPr>
        <w:pStyle w:val="Heading2"/>
        <w:spacing w:after="100" w:before="200"/>
      </w:pPr>
      <w:r>
        <w:rPr>
          <w:rFonts w:ascii="Aptos" w:cs="Aptos" w:eastAsia="Aptos" w:hAnsi="Aptos"/>
          <w:b/>
          <w:bCs/>
          <w:i w:val="false"/>
          <w:iCs w:val="false"/>
          <w:color w:val="000000"/>
          <w:sz w:val="32"/>
          <w:szCs w:val="32"/>
        </w:rPr>
        <w:t xml:space="preserve">5.2 Scenario FS-2: Ransomware Recovery</w:t>
      </w:r>
    </w:p>
    <w:p>
      <w:pPr>
        <w:spacing w:after="140" w:before="0"/>
        <w:jc w:val="left"/>
      </w:pPr>
      <w:r>
        <w:rPr>
          <w:rFonts w:ascii="Aptos" w:cs="Aptos" w:eastAsia="Aptos" w:hAnsi="Aptos"/>
          <w:b w:val="false"/>
          <w:bCs w:val="false"/>
          <w:i w:val="false"/>
          <w:iCs w:val="false"/>
          <w:color w:val="000000"/>
          <w:sz w:val="24"/>
          <w:szCs w:val="24"/>
        </w:rPr>
        <w:t xml:space="preserve">This is the most operationally complex scenario. The recovery relies on the S3 Object Lock and Azure Immutable Blob Storage confirmations from the VaultArchive assessment (ISMS-OPS-003 Section 2.2 Domain C — 20/20). Before starting recovery: confirm CrowdStrike has isolated all affected endpoints. Do not reconnect isolated endpoints until eradication is confirmed.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880"/>
      </w:tblGrid>
      <w:tr>
        <w:trPr>
          <w:cantSplit/>
          <w:tblHeader/>
        </w:trPr>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Step</w:t>
            </w:r>
          </w:p>
        </w:tc>
        <w:tc>
          <w:tcPr>
            <w:tcW w:type="dxa" w:w="7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Confirm scope of encryption</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runs CrowdStrike threat hunt to identify all affected endpoints and systems. Cloud Infrastructure team checks all production data tiers — confirm which databases and storage are affected.</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 Isolate affected systems</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Ensure all affected endpoints are CrowdStrike-isolated. Disable network access for affected cloud resources at the security group level. Do not power off — preserve volatile evidence (memory, running processes) for forensic investigation.</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Confirm backup integrity</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Contact VaultArchive (Sana Al Farsi to initiate per VaultArchive security schedule). Confirm the most recent clean backup timestamp and that S3 Object Lock / Immutable Blob Storage prevented backup encryption. VaultArchive confirms backup integrity within 2 hours of request.</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Stand up clean environment</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For India: provision new RDS instance from the most recent clean snapshot in S3. For UAE: restore from Azure Blob backup to a new Azure Database for PostgreSQL Flexible Server instance. Provisioning time: approximately 45–90 minutes depending on data volume.</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Restore application tier</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Deploy application tier to the new database. Use existing Kubernetes deployment manifests from GitHub (source code is not affected by ransomware — GitHub is separate from production). Confirm API-GW can reach the new data tier.</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Validate data integrity</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Run data validation checks against the restored database. Confirm patient record counts against the last known-good count. Confirm no data corruption at the record level.</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 Notify customers</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Customer Success notifies all affected hospital customers. For enterprise customers: personal notification before restoring access. Content: nature of incident, data affected (if any), recovery actions taken, estimated restoration time. ISMS-OPS-005 notification tracks (CERT-In, DPDP Act) are active in parallel.</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 Restore service and monitor</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Restore API-GW routing to the recovered data tier. Increase monitoring intensity. Do not restore isolated endpoints until full forensic review is complete and root cause is identified.</w:t>
            </w:r>
          </w:p>
        </w:tc>
      </w:tr>
    </w:tbl>
    <w:p>
      <w:pPr>
        <w:spacing w:after="140" w:before="60"/>
        <w:jc w:val="left"/>
      </w:pPr>
      <w:r>
        <w:rPr>
          <w:rFonts w:ascii="Aptos" w:cs="Aptos" w:eastAsia="Aptos" w:hAnsi="Aptos"/>
          <w:b w:val="false"/>
          <w:bCs w:val="false"/>
          <w:i/>
          <w:iCs/>
          <w:color w:val="000000"/>
          <w:sz w:val="24"/>
          <w:szCs w:val="24"/>
        </w:rPr>
        <w:t xml:space="preserve">RPO for ransomware recovery: determined by the age of the most recent clean backup. With daily backups and S3 Object Lock, maximum data loss is 24 hours. Backup taken at 02:00 each day — a ransomware event detected at 20:00 would lose approximately 18 hours of data. This is within the Tier 1 RPO of 1 hour only for the most recent backup — the RDS PITR capability (5-minute granularity) is used to recover to the last clean point before encryption. PITR reduces effective RPO to under 5 minutes if the encryption event can be pinpointed.</w:t>
      </w:r>
    </w:p>
    <w:p>
      <w:pPr>
        <w:pStyle w:val="Heading2"/>
        <w:spacing w:after="100" w:before="200"/>
      </w:pPr>
      <w:r>
        <w:rPr>
          <w:rFonts w:ascii="Aptos" w:cs="Aptos" w:eastAsia="Aptos" w:hAnsi="Aptos"/>
          <w:b/>
          <w:bCs/>
          <w:i w:val="false"/>
          <w:iCs w:val="false"/>
          <w:color w:val="000000"/>
          <w:sz w:val="32"/>
          <w:szCs w:val="32"/>
        </w:rPr>
        <w:t xml:space="preserve">5.3 Scenario FS-3: Complete Regional Cloud Outage</w:t>
      </w:r>
    </w:p>
    <w:p>
      <w:pPr>
        <w:spacing w:after="140" w:before="0"/>
        <w:jc w:val="left"/>
      </w:pPr>
      <w:r>
        <w:rPr>
          <w:rFonts w:ascii="Aptos" w:cs="Aptos" w:eastAsia="Aptos" w:hAnsi="Aptos"/>
          <w:b w:val="false"/>
          <w:bCs w:val="false"/>
          <w:i w:val="false"/>
          <w:iCs w:val="false"/>
          <w:color w:val="000000"/>
          <w:sz w:val="24"/>
          <w:szCs w:val="24"/>
        </w:rPr>
        <w:t xml:space="preserve">A complete AWS ap-south-1 or Azure UAE North regional outage is outside MediSync's direct control. Recovery options are limited: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Wait for provider recovery: AWS and Azure both commit to regional recovery within hours for most failure types. Historical data suggests most regional outages resolve within 4–8 hours. MediSync's Tier 1 RTO (4 hours) may not be achievable for a complete regional outage.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Cross-region failover: MediSync does not currently have a cross-region failover capability built. India data cannot be recovered to UAE infrastructure (data residency prohibition). A cross-region capability would require duplicate infrastructure in a second India or UAE region, which is not in the current architecture. This is noted as a post-certification improvement item.</w:t>
      </w:r>
    </w:p>
    <w:p>
      <w:pPr>
        <w:spacing w:after="140" w:before="60"/>
        <w:jc w:val="left"/>
      </w:pPr>
      <w:r>
        <w:rPr>
          <w:rFonts w:ascii="Aptos" w:cs="Aptos" w:eastAsia="Aptos" w:hAnsi="Aptos"/>
          <w:b w:val="false"/>
          <w:bCs w:val="false"/>
          <w:i w:val="false"/>
          <w:iCs w:val="false"/>
          <w:color w:val="000000"/>
          <w:sz w:val="24"/>
          <w:szCs w:val="24"/>
        </w:rPr>
        <w:t xml:space="preserve">For a complete regional outage: declare the incident, notify enterprise customers immediately, communicate the provider's estimated recovery timeline, update customers every 2 hours until service is restored. If outage exceeds 8 hours: escalate to CISO and COO for customer SLA breach assessment.</w:t>
      </w:r>
    </w:p>
    <w:p>
      <w:pPr>
        <w:spacing w:after="140" w:before="60"/>
        <w:jc w:val="left"/>
      </w:pPr>
      <w:r>
        <w:rPr>
          <w:rFonts w:ascii="Aptos" w:cs="Aptos" w:eastAsia="Aptos" w:hAnsi="Aptos"/>
          <w:b w:val="false"/>
          <w:bCs w:val="false"/>
          <w:i w:val="false"/>
          <w:iCs w:val="false"/>
          <w:color w:val="000000"/>
          <w:sz w:val="24"/>
          <w:szCs w:val="24"/>
        </w:rPr>
        <w:t xml:space="preserve">Enterprise SLA commitments: MediSync's enterprise customer contracts include uptime commitments. A complete regional outage exceeding the SLA window is a contractual breach. The Head of Legal (Omar Al Mansoori) is notified when a regional outage exceeds the committed SLA window.</w:t>
      </w:r>
    </w:p>
    <w:p>
      <w:pPr>
        <w:pStyle w:val="Heading2"/>
        <w:spacing w:after="100" w:before="200"/>
      </w:pPr>
      <w:r>
        <w:rPr>
          <w:rFonts w:ascii="Aptos" w:cs="Aptos" w:eastAsia="Aptos" w:hAnsi="Aptos"/>
          <w:b/>
          <w:bCs/>
          <w:i w:val="false"/>
          <w:iCs w:val="false"/>
          <w:color w:val="000000"/>
          <w:sz w:val="32"/>
          <w:szCs w:val="32"/>
        </w:rPr>
        <w:t xml:space="preserve">5.4 Scenario FS-4: Database Corruption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880"/>
      </w:tblGrid>
      <w:tr>
        <w:trPr>
          <w:cantSplit/>
          <w:tblHeader/>
        </w:trPr>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Step</w:t>
            </w:r>
          </w:p>
        </w:tc>
        <w:tc>
          <w:tcPr>
            <w:tcW w:type="dxa" w:w="7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Confirm corruption scope</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DBA team (IT Operations Lead + Cloud Infrastructure) confirms which databases are affected and the estimated time of corruption onset.</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 Identify the last clean point</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Use AWS RDS PITR (5-minute granularity, 35-day retention) or Azure PITR (5-minute granularity, 35-day retention) to identify the last timestamp at which data was known-good.</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Restore to clean point</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Initiate PITR restore to the identified clean timestamp. Restore to a new database instance — do not overwrite the corrupted instance until the restored instance is validated.</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Validate restored data</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Run data validation against the restored instance. Confirm record counts, data integrity, and referential integrity.</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Switch application tier to restored instance</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Update API-GW and application tier to point to the restored database instance. Confirm service health.</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Assess data loss</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Quantify the data loss between the PITR restore point and the current time. Notify affected customers of any patient record data loss.</w:t>
            </w:r>
          </w:p>
        </w:tc>
      </w:tr>
    </w:tbl>
    <w:p>
      <w:pPr>
        <w:pStyle w:val="Heading1"/>
        <w:spacing w:after="120" w:before="300"/>
      </w:pPr>
      <w:r>
        <w:rPr>
          <w:rFonts w:ascii="Aptos" w:cs="Aptos" w:eastAsia="Aptos" w:hAnsi="Aptos"/>
          <w:b/>
          <w:bCs/>
          <w:i w:val="false"/>
          <w:iCs w:val="false"/>
          <w:color w:val="000000"/>
          <w:sz w:val="36"/>
          <w:szCs w:val="36"/>
        </w:rPr>
        <w:t xml:space="preserve">6. Customer Communication During Disruption</w:t>
      </w:r>
    </w:p>
    <w:p>
      <w:pPr>
        <w:spacing w:after="140" w:before="0"/>
        <w:jc w:val="left"/>
      </w:pPr>
      <w:r>
        <w:rPr>
          <w:rFonts w:ascii="Aptos" w:cs="Aptos" w:eastAsia="Aptos" w:hAnsi="Aptos"/>
          <w:b w:val="false"/>
          <w:bCs w:val="false"/>
          <w:i w:val="false"/>
          <w:iCs w:val="false"/>
          <w:color w:val="000000"/>
          <w:sz w:val="24"/>
          <w:szCs w:val="24"/>
        </w:rPr>
        <w:t xml:space="preserve">All 180+ hospital and clinic customers receive service status updates during a disruption. The communication approach depends on severity and customer type: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Customer type</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Communication approach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enterprise hospital customers (dedicated environments)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Personal notification from Head of Customer Success within 30 minutes of incident declaration. Updates every 2 hours until service is restored. Named contact at the hospital (IT Director or CIO) receives direct messages. Prior 4-week advance notice was given for the planned DR test — all 14 confirmed receipt.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Multi-tenant customers (remaining ~166+ customers)</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Service status page (status.medisync.io) updated within 15 minutes of incident declaration. Status page shows per-region status. Email notification for any outage exceeding 30 minutes.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authorities (CERT-In, DPDP Act)</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 ISMS-OPS-005 notification tracks. A ransomware event with patient data exfiltration triggers CERT-In 6-hour notification. An extended outage alone does not trigger CERT-In notification — it triggers customer SLA communication.</w:t>
            </w:r>
          </w:p>
        </w:tc>
      </w:tr>
    </w:tbl>
    <w:p>
      <w:pPr>
        <w:pStyle w:val="Heading1"/>
        <w:spacing w:after="120" w:before="300"/>
      </w:pPr>
      <w:r>
        <w:rPr>
          <w:rFonts w:ascii="Aptos" w:cs="Aptos" w:eastAsia="Aptos" w:hAnsi="Aptos"/>
          <w:b/>
          <w:bCs/>
          <w:i w:val="false"/>
          <w:iCs w:val="false"/>
          <w:color w:val="000000"/>
          <w:sz w:val="36"/>
          <w:szCs w:val="36"/>
        </w:rPr>
        <w:t xml:space="preserve">7. Recovery Team and Contacts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7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7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Contact and BCDR responsibility</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 — Sana Al Farsi</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BCDR technical lead. Initiates recovery procedures. Coordinates with VaultArchive on backup restoration. Available by mobile 24/7 for BCDR events.</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Commander — Vikram Sundaram (CISO)</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Declares BCDR events. Makes decisions on scope of recovery. Communicates to Steering Committee. Available by mobile 24/7.</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COO — Farhan Ahmed</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Notified for all Tier 1 service outages exceeding 2 hours. Co-approves this BCDR plan. Approves cross-regional failover decisions (if built in future).</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 Neha Choudhury</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Monitors throughout recovery. Confirms CrowdStrike endpoint isolation for ransomware events. Monitors for secondary threats during recovery.</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Customer Success — Divya Nair</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Manages all customer communications during disruption. Holds enterprise customer IT contact list. Initiates customer notification within 30 minutes of declaration.</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 emergency contact</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 archive access for recovery. Contact number in VaultArchive security schedule (ISMS-OPS-003). Available 24/7 per security schedule SLA. Recovery initiation confirmed within 2 hours of request.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Manages corporate endpoint recovery. Coordinates MDM for device recovery. Manages physical office continuity if office access is affected.</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Support / Azure Support</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Provider support engaged for regional incidents. AWS Business Support (minimum) or Azure Premier Support. Contact via respective support portals — CISO or Head of Cloud Infrastructure initiates.</w:t>
            </w:r>
          </w:p>
        </w:tc>
      </w:tr>
    </w:tbl>
    <w:p>
      <w:pPr>
        <w:pStyle w:val="Heading1"/>
        <w:spacing w:after="120" w:before="300"/>
      </w:pPr>
      <w:r>
        <w:rPr>
          <w:rFonts w:ascii="Aptos" w:cs="Aptos" w:eastAsia="Aptos" w:hAnsi="Aptos"/>
          <w:b/>
          <w:bCs/>
          <w:i w:val="false"/>
          <w:iCs w:val="false"/>
          <w:color w:val="000000"/>
          <w:sz w:val="36"/>
          <w:szCs w:val="36"/>
        </w:rPr>
        <w:t xml:space="preserve">8. DR Test Summary — 21 October 2026</w:t>
      </w:r>
    </w:p>
    <w:p>
      <w:pPr>
        <w:spacing w:after="140" w:before="0"/>
        <w:jc w:val="left"/>
      </w:pPr>
      <w:r>
        <w:rPr>
          <w:rFonts w:ascii="Aptos" w:cs="Aptos" w:eastAsia="Aptos" w:hAnsi="Aptos"/>
          <w:b w:val="false"/>
          <w:bCs w:val="false"/>
          <w:i w:val="false"/>
          <w:iCs w:val="false"/>
          <w:color w:val="000000"/>
          <w:sz w:val="24"/>
          <w:szCs w:val="24"/>
        </w:rPr>
        <w:t xml:space="preserve">A full end-to-end DR test was conducted on 21 October 2026. The test used Scenario FS-2 (ransomware recovery from backup) as the primary scenario, with a database restore from VaultArchive-managed backup archives. This scenario was chosen as the most operationally complex and the one with the most uncertainty (backup immutability had not been previously tested end-to-end).</w:t>
      </w:r>
    </w:p>
    <w:p>
      <w:pPr>
        <w:spacing w:after="140" w:before="60"/>
        <w:jc w:val="left"/>
      </w:pPr>
      <w:r>
        <w:rPr>
          <w:rFonts w:ascii="Aptos" w:cs="Aptos" w:eastAsia="Aptos" w:hAnsi="Aptos"/>
          <w:b w:val="false"/>
          <w:bCs w:val="false"/>
          <w:i w:val="false"/>
          <w:iCs w:val="false"/>
          <w:color w:val="000000"/>
          <w:sz w:val="24"/>
          <w:szCs w:val="24"/>
        </w:rPr>
        <w:t xml:space="preserve">Full test record including measured times, findings, and corrective actions is in ISMS-OPS-008 (Backup &amp; Recovery Procedure, Appendix A — DR Test Record). Key results: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Result item</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Test scenario</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Ransomware recovery — restore India region Tier 1 services from VaultArchive backup archives. Simulated data encryption event at 09:00 IST.</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Test date and window</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October 2026. Test window: 09:00–18:00 IST. India production traffic routed to standby systems for the test duration.</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Advance notice to enterprise customers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weeks in advance per ISMS-SUP-007 I-12. All 14 enterprise customers confirmed receipt and agreed to the test window.</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1 RTO result</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hours 42 minutes — within the 4-hour target. EHR-CORE and HIS-CORE restored to a test environment from VaultArchive archives by 12:42 IST.</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 immutability confirmed</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S3 Object Lock (Compliance mode) confirmed on all India backup buckets. Object Lock prevented the test simulated encryption from affecting the archive. VaultArchive confirmed archive integrity before initiating restore.</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2 RTO result</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hours 15 minutes — within the 8-hour target.</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Enterprise customer VPC result</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hours 2 minutes — 2 minutes over the 4-hour target. Root cause: certificate renewal step was manual. Certificate renewal has since been automated. Corrective action confirmed Oct 2026.</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integrity validation</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restored data passed validation checks. Record counts matched the last-known-good count. No data corruption detected.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Lessons incorporated</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renewal automation implemented. VaultArchive recovery initiation SLA confirmed at 2 hours (within expected window). PITR process for database corruption confirmed and documented in OPS-008.</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DR test</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October 2027 (annual). UAE region to be the primary scenario for 2027 test.</w:t>
            </w:r>
          </w:p>
        </w:tc>
      </w:tr>
    </w:tbl>
    <w:p>
      <w:pPr>
        <w:pStyle w:val="Heading1"/>
        <w:spacing w:after="120" w:before="300"/>
      </w:pPr>
      <w:r>
        <w:rPr>
          <w:rFonts w:ascii="Aptos" w:cs="Aptos" w:eastAsia="Aptos" w:hAnsi="Aptos"/>
          <w:b/>
          <w:bCs/>
          <w:i w:val="false"/>
          <w:iCs w:val="false"/>
          <w:color w:val="000000"/>
          <w:sz w:val="36"/>
          <w:szCs w:val="36"/>
        </w:rPr>
        <w:t xml:space="preserve">9. Post-Certification Improvement Items</w:t>
      </w:r>
    </w:p>
    <w:p>
      <w:pPr>
        <w:spacing w:after="140" w:before="0"/>
        <w:jc w:val="left"/>
      </w:pPr>
      <w:r>
        <w:rPr>
          <w:rFonts w:ascii="Aptos" w:cs="Aptos" w:eastAsia="Aptos" w:hAnsi="Aptos"/>
          <w:b w:val="false"/>
          <w:bCs w:val="false"/>
          <w:i w:val="false"/>
          <w:iCs w:val="false"/>
          <w:color w:val="000000"/>
          <w:sz w:val="24"/>
          <w:szCs w:val="24"/>
        </w:rPr>
        <w:t xml:space="preserve">The following improvements to BCDR capability are identified but not required for certification. They are tracked as future state improvements for the year following certification (M-10 April 2027 onward):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Cross-region failover capability (India): build a warm standby in a secondary India AWS region (e.g., ap-south-2 Hyderabad) to cover complete ap-south-1 regional outage. Would reduce Tier 1 RTO for regional outage from "wait for provider" to approximately 2 hours. Cost: significant — requires budget approval.</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Automated certificate renewal for enterprise customer VPCs: cert-manager automation confirmed and deployed post-DR test. To be validated in the 2027 DR test.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UAE region DR test (2027): the October 2026 test covered India. The 2027 test will cover UAE region (Azure UAE North) including Azure Immutable Blob Storage restore from VaultArchive UAE archives.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Runbook automation: recovery runbooks in Section 5 are currently manual procedures. Investigation of Infrastructure-as-Code automation (Terraform runbook execution) for Scenarios FS-1 and FS-4 to reduce RTO further.</w:t>
      </w:r>
    </w:p>
    <w:p>
      <w:pPr>
        <w:pStyle w:val="Heading1"/>
        <w:spacing w:after="120" w:before="300"/>
      </w:pPr>
      <w:r>
        <w:rPr>
          <w:rFonts w:ascii="Aptos" w:cs="Aptos" w:eastAsia="Aptos" w:hAnsi="Aptos"/>
          <w:b/>
          <w:bCs/>
          <w:i w:val="false"/>
          <w:iCs w:val="false"/>
          <w:color w:val="000000"/>
          <w:sz w:val="36"/>
          <w:szCs w:val="36"/>
        </w:rPr>
        <w:t xml:space="preserve">10.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 — Plan Owner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procedures confirmed. DR test results incorporated.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Oct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and incident integration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Oct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Divya Nair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Customer Success</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communication plan confirmed. Enterprise customer contact list held.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Oct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Plan approved — R-007 and R-015 risks addressed.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Operating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Resource commitments and customer SLA implications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Farhan Ahmed, Chief Operating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ISMS-OPS-007  |  Business Continuity &amp; DR Plan  |  Confidential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rFonts w:ascii="Aptos" w:cs="Aptos" w:eastAsia="Aptos" w:hAnsi="Aptos"/>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2026-09-02T05:48:47.404Z</dcterms:created>
  <dcterms:modified xsi:type="dcterms:W3CDTF">2026-09-02T05:48:47.412Z</dcterms:modified>
</cp:coreProperties>
</file>

<file path=docProps/custom.xml><?xml version="1.0" encoding="utf-8"?>
<Properties xmlns="http://schemas.openxmlformats.org/officeDocument/2006/custom-properties" xmlns:vt="http://schemas.openxmlformats.org/officeDocument/2006/docPropsVTypes"/>
</file>