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OPERATIONAL RISK REASSESSMENT REPORT</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Operational Risk Reassessment Report — Phase 5 Baseline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ISMS-OPS-011</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6.1.2 — Information Security Risk Assessment; Clause 8.1 — Operational Planning and Control; Clause 9.1 — Monitoring and Measurement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Operation (Clause 8), Item 11 of 11 — Final Phase 5 Deliverable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Risk Posture Baseline at Phase 5 Close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 — CISO, ISMS Manager, Steering Committee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Meera Iyer (ISMS Manager); Consulting Team (Risk &amp; Controls)</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October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risk assessment (May 2026) — ISMS-PLN-010, ISMS-PLN-011, ISMS-PLN-004</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Previous Assessment</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all 20 risks scored (1 HIGH: R-006; 5 MED-HIGH; 10 MEDIUM; 4 LOW)</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This Assessment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operational baseline — risk scores updated to reflect Phase 5 controls now in place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Scoring</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Likelihood × Impact (1–5 scale each). Score 1–4: LOW; 5–9: MEDIUM; 10–14: MED-HIGH; 15–25: HIGH</w:t>
            </w:r>
          </w:p>
        </w:tc>
      </w:tr>
    </w:tbl>
    <w:p>
      <w:pPr>
        <w:spacing w:after="200" w:before="140"/>
        <w:jc w:val="left"/>
      </w:pPr>
      <w:r>
        <w:rPr>
          <w:rFonts w:ascii="Aptos" w:cs="Aptos" w:eastAsia="Aptos" w:hAnsi="Aptos"/>
          <w:b w:val="false"/>
          <w:bCs w:val="false"/>
          <w:i/>
          <w:iCs/>
          <w:color w:val="000000"/>
          <w:sz w:val="24"/>
          <w:szCs w:val="24"/>
        </w:rPr>
        <w:t xml:space="preserve">This report reassesses MediSync's 20 identified information security risks at the Phase 5 operational baseline. It compares the Phase 3 inherent and residual scores against the Phase 5 residual scores, documents the controls implemented in Phase 5 that caused score changes, and identifies any new risks that have emerged during Phase 5 operation.</w:t>
      </w:r>
    </w:p>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Executive Summary</w:t>
      </w:r>
    </w:p>
    <w:p>
      <w:pPr>
        <w:spacing w:after="140" w:before="0"/>
        <w:jc w:val="left"/>
      </w:pPr>
      <w:r>
        <w:rPr>
          <w:rFonts w:ascii="Aptos" w:cs="Aptos" w:eastAsia="Aptos" w:hAnsi="Aptos"/>
          <w:b w:val="false"/>
          <w:bCs w:val="false"/>
          <w:i w:val="false"/>
          <w:iCs w:val="false"/>
          <w:color w:val="000000"/>
          <w:sz w:val="24"/>
          <w:szCs w:val="24"/>
        </w:rPr>
        <w:t xml:space="preserve">Phase 5 (Operation) implemented the controls that Phase 3 identified as either not in place or partially effective. This reassessment reflects the impact of those controls on MediSync's risk posture.</w:t>
      </w:r>
    </w:p>
    <w:p>
      <w:pPr>
        <w:pStyle w:val="Heading2"/>
        <w:spacing w:after="100" w:before="200"/>
      </w:pPr>
      <w:r>
        <w:rPr>
          <w:rFonts w:ascii="Aptos" w:cs="Aptos" w:eastAsia="Aptos" w:hAnsi="Aptos"/>
          <w:b/>
          <w:bCs/>
          <w:i w:val="false"/>
          <w:iCs w:val="false"/>
          <w:color w:val="000000"/>
          <w:sz w:val="32"/>
          <w:szCs w:val="32"/>
        </w:rPr>
        <w:t xml:space="preserve">1.1 Risk posture movement — Phase 3 to Phase 5</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 3 → Phase 5</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 risks (score 15–25)</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(R-006 — IR plan failure) → 0 (R-006 CLOSED by ISMS-OPS-005)</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MED-HIGH risks (score 10–14)</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 → 3 (R-007 and R-015 closed; R-001 reduced from 12 to 8)</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 risks (score 5–9)</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 11 (one new risk R-021 added; two risks reduced below 5)</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LOW risks (score 1–4)</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 → 6 (three risks reduced into LOW band)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Total risks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 → 21 (one new risk identified during Phase 5 operation)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closed (score reduced to 0 or treatment complete)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R-007, R-015 (3 risks fully closed)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where residual &gt; Phase 3 residual</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 no risk has worsened since Phase 3</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Risks still at or above appetite (MED-HIGH or HIGH)</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 (R-002, R-004, R-009) — all with active treatment plans</w:t>
            </w:r>
          </w:p>
        </w:tc>
      </w:tr>
    </w:tbl>
    <w:p>
      <w:pPr>
        <w:pStyle w:val="Heading2"/>
        <w:spacing w:after="100" w:before="200"/>
      </w:pPr>
      <w:r>
        <w:rPr>
          <w:rFonts w:ascii="Aptos" w:cs="Aptos" w:eastAsia="Aptos" w:hAnsi="Aptos"/>
          <w:b/>
          <w:bCs/>
          <w:i w:val="false"/>
          <w:iCs w:val="false"/>
          <w:color w:val="000000"/>
          <w:sz w:val="32"/>
          <w:szCs w:val="32"/>
        </w:rPr>
        <w:t xml:space="preserve">1.2 Key Phase 5 controls affecting risk scores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 implemented</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Risks directly affected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Incident Management Procedure v1.0 — tabletop tested, three notification tracks, R-006 closed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(CLOSED): HIGH → 0. R-003 (partial improvement): residual reduced from 9 to 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ISMS-OPS-007 + ISMS-OPS-008 BCDR Plan and DR test — all RTO targets achieved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R-007 (CLOSED): MED-HIGH → 0. R-015 (CLOSED): MED-HIGH → 0 (ransomware — backup immutability confirmed).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D-02 + D-03: Cloud config baseline and Sentinel drift alerts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R-003 (cloud misconfiguration): residual 9 → 6. R-016 (monitoring gap): residual 8 → 4.</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ISMS-OPS-009 Access review — Q3 2026 first formal quarterly review, 2 stale accounts found and disabled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R-001 (access control): residual 12 → 8. G-04 formally closed.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ISMS-OPS-003 + ISMS-OPS-004 Vendor assessments — VaultArchive and SentinelWatch assessed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R-010 (MSSP risk): residual 9 → 5. R-012 (third-party breach): residual 9 → 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D-05 + CHG-008/009 Kubernetes PSS, GHAS, Dependabot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R-011 (SDLC): residual 9 → 6. G-16 formally closed.</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ISMS-SUP-005 Awareness programme — 94% completion, Finance BEC module 100%</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 (phishing): residual 12 → 9. Still MED-HIGH — first phishing simulation results awaited.</w:t>
            </w:r>
          </w:p>
        </w:tc>
      </w:tr>
    </w:tbl>
    <w:p>
      <w:pPr>
        <w:pStyle w:val="Heading1"/>
        <w:spacing w:after="120" w:before="300"/>
      </w:pPr>
      <w:r>
        <w:rPr>
          <w:rFonts w:ascii="Aptos" w:cs="Aptos" w:eastAsia="Aptos" w:hAnsi="Aptos"/>
          <w:b/>
          <w:bCs/>
          <w:i w:val="false"/>
          <w:iCs w:val="false"/>
          <w:color w:val="000000"/>
          <w:sz w:val="36"/>
          <w:szCs w:val="36"/>
        </w:rPr>
        <w:t xml:space="preserve">2. Risk-by-Risk Reassessment</w:t>
      </w:r>
    </w:p>
    <w:p>
      <w:pPr>
        <w:spacing w:after="140" w:before="0"/>
        <w:jc w:val="left"/>
      </w:pPr>
      <w:r>
        <w:rPr>
          <w:rFonts w:ascii="Aptos" w:cs="Aptos" w:eastAsia="Aptos" w:hAnsi="Aptos"/>
          <w:b w:val="false"/>
          <w:bCs w:val="false"/>
          <w:i w:val="false"/>
          <w:iCs w:val="false"/>
          <w:color w:val="000000"/>
          <w:sz w:val="24"/>
          <w:szCs w:val="24"/>
        </w:rPr>
        <w:t xml:space="preserve">The following table shows every risk in ISMS-PLN-004. Phase 3 inherent and residual scores are reproduced for comparison. Phase 5 residual scores reflect controls now operational. Score = Likelihood (L) × Impact (I), each on a 1–5 scale.</w:t>
      </w:r>
    </w:p>
    <w:p>
      <w:pPr>
        <w:spacing w:after="140" w:before="60"/>
        <w:jc w:val="left"/>
      </w:pPr>
      <w:r>
        <w:rPr>
          <w:rFonts w:ascii="Aptos" w:cs="Aptos" w:eastAsia="Aptos" w:hAnsi="Aptos"/>
          <w:b w:val="false"/>
          <w:bCs w:val="false"/>
          <w:i/>
          <w:iCs/>
          <w:color w:val="000000"/>
          <w:sz w:val="24"/>
          <w:szCs w:val="24"/>
        </w:rPr>
        <w:t xml:space="preserve">Scoring bands: 1–4 = LOW (green) | 5–9 = MEDIUM (amber) | 10–14 = MED-HIGH (orange) | 15–25 = HIGH (red)</w:t>
      </w:r>
    </w:p>
    <w:p>
      <w:pPr>
        <w:pStyle w:val="Heading2"/>
        <w:spacing w:after="100" w:before="200"/>
      </w:pPr>
      <w:r>
        <w:rPr>
          <w:rFonts w:ascii="Aptos" w:cs="Aptos" w:eastAsia="Aptos" w:hAnsi="Aptos"/>
          <w:b/>
          <w:bCs/>
          <w:i w:val="false"/>
          <w:iCs w:val="false"/>
          <w:color w:val="000000"/>
          <w:sz w:val="32"/>
          <w:szCs w:val="32"/>
        </w:rPr>
        <w:t xml:space="preserve">2.1 Closed risks</w:t>
      </w:r>
    </w:p>
    <w:p>
      <w:pPr>
        <w:spacing w:after="140" w:before="0"/>
        <w:jc w:val="left"/>
      </w:pPr>
      <w:r>
        <w:rPr>
          <w:rFonts w:ascii="Aptos" w:cs="Aptos" w:eastAsia="Aptos" w:hAnsi="Aptos"/>
          <w:b w:val="false"/>
          <w:bCs w:val="false"/>
          <w:i w:val="false"/>
          <w:iCs w:val="false"/>
          <w:color w:val="000000"/>
          <w:sz w:val="24"/>
          <w:szCs w:val="24"/>
        </w:rPr>
        <w:t xml:space="preserve">Three risks are fully closed at Phase 5. Closed means the residual score is 0 or the treatment is confirmed complete and the risk cannot recur without a material change in context.</w:t>
      </w:r>
    </w:p>
    <w:p>
      <w:pPr>
        <w:pStyle w:val="Heading2"/>
        <w:spacing w:after="100" w:before="200"/>
      </w:pPr>
      <w:r>
        <w:rPr>
          <w:rFonts w:ascii="Aptos" w:cs="Aptos" w:eastAsia="Aptos" w:hAnsi="Aptos"/>
          <w:b/>
          <w:bCs/>
          <w:i w:val="false"/>
          <w:iCs w:val="false"/>
          <w:color w:val="000000"/>
          <w:sz w:val="32"/>
          <w:szCs w:val="32"/>
        </w:rPr>
        <w:t xml:space="preserve">2.2 Risks where residual score has reduced</w:t>
      </w:r>
    </w:p>
    <w:p>
      <w:pPr>
        <w:spacing w:after="140" w:before="0"/>
        <w:jc w:val="left"/>
      </w:pPr>
      <w:r>
        <w:rPr>
          <w:rFonts w:ascii="Aptos" w:cs="Aptos" w:eastAsia="Aptos" w:hAnsi="Aptos"/>
          <w:b w:val="false"/>
          <w:bCs w:val="false"/>
          <w:i w:val="false"/>
          <w:iCs w:val="false"/>
          <w:color w:val="000000"/>
          <w:sz w:val="24"/>
          <w:szCs w:val="24"/>
        </w:rPr>
        <w:t xml:space="preserve">Fourteen risks have lower residual scores at Phase 5 than at Phase 3. This reflects the Phase 5 controls now operational.</w:t>
      </w:r>
    </w:p>
    <w:tbl>
      <w:tblPr>
        <w:tblW w:type="dxa" w:w="11080"/>
        <w:tblBorders>
          <w:top w:val="single" w:color="000000" w:sz="4"/>
          <w:left w:val="single" w:color="000000" w:sz="4"/>
          <w:bottom w:val="single" w:color="000000" w:sz="4"/>
          <w:right w:val="single" w:color="000000" w:sz="4"/>
          <w:insideH w:val="single" w:color="000000" w:sz="4"/>
          <w:insideV w:val="single" w:color="000000" w:sz="4"/>
        </w:tblBorders>
      </w:tblPr>
      <w:tblGrid>
        <w:gridCol w:w="800"/>
        <w:gridCol w:w="3000"/>
        <w:gridCol w:w="900"/>
        <w:gridCol w:w="1200"/>
        <w:gridCol w:w="1200"/>
        <w:gridCol w:w="1600"/>
        <w:gridCol w:w="2380"/>
      </w:tblGrid>
      <w:tr>
        <w:trPr>
          <w:cantSplit/>
          <w:tblHeader/>
        </w:trPr>
        <w:tc>
          <w:tcPr>
            <w:tcW w:type="dxa" w:w="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ID</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Title</w:t>
            </w:r>
          </w:p>
        </w:tc>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Inherent
(Ph3)</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Residual
(Ph3)</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Residual
(Ph5)</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Movement</w:t>
            </w:r>
          </w:p>
        </w:tc>
        <w:tc>
          <w:tcPr>
            <w:tcW w:type="dxa" w:w="2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 5 Treatment Status</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Unauthorised access via stale or over-privileged accounts (hospital-facing admin)</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8 (was 12)</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Q3 2026 access review completed — 847 accounts reviewed, 2 stale disabled, 4 access rights reduced. Quarterly review cadence now operational (ISMS-OPS-009 REV-001). Entra ID PIM for all cloud admin accounts (CHG-003).</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Email Compromise / phishing — Finance team</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9 (was 12)</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Finance anti-phishing module (TNA-002) 100% completion. All-staff awareness programme 94% completion. Acceptable-use procedure (ISMS-OPS-001 D-08). First phishing simulation (Aug 2026) established baseline click rate.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R-003</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misconfiguration exposing patient data (repeat of 2024 near-miss)</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configuration baseline documented (ISMS-OPS-001 D-02). Sentinel drift alert rules operational — public bucket, IAM wildcard, CloudTrail disabled, root login (CHG-005). Change review process for security configurations (ISMS-PLN-009 + D-02.2). Quarterly Trusted Advisor review.</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6-hour notification window missed during a real incident</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8 (was 12)</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incident management procedure in force — CERT-In track 1 procedure documented. Tabletop exercise (Oct 2026) identified and fixed the clock trigger issue (clock now starts from detection, not from classification). Three notification tracks operational.</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R-005</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exfiltration of patient data before detection</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automatic isolation operational on all ~460 endpoints. Sentinel ransomware alert rules (rapid file modification, shadow copy deletion) active. SentinelWatch MSSP 24/7 monitoring providing faster detection. CERT-In notification procedure in place.</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incident causing regulatory breach — no IR plan</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Incident Management Procedure v1.0 issued, approved, and tabletop tested (20 Oct 2026). Three regulatory notification tracks operational. Five tabletop findings incorporated. This was the only risk where Phase 3 residual equalled inherent (20 = 20) because the IR plan was rated Not Effective.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failure — production systems unrecoverable, RTO unknown</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ISMS-OPS-007 BCDR Plan issued. ISMS-OPS-008 Backup &amp; Recovery Procedure including DR test record. DR test 21 Oct 2026 — all RTO targets achieved. Tier 1: 3h 42m (target 4h). Backup immutability confirmed (S3 Object Lock). RTO is now known and tested, not unknown.</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R-008</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residency breach — India patient data reaching UAE systems</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4 (was 6)</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AWS account and Azure subscription separation enforced at infrastructure level. ISMS-OPS-001 D-09 data handling procedure. Sentinel cross-region data transfer alerts. No incidents in Phase 5. Architecture review for new features (D-05.1) includes data residency check.</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or UAE PDPL regulatory non-compliance — financial and reputational penalty</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20</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8 (was 12)</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Track 2 (DPDP Act) and Track 3 (UAE PDPL) notification procedures operational. Data principal rights procedure in ISMS-OPS-001 D-09.3. Deletion capability confirmed per product (D-09.4). DPA reviews complete for all 22 enterprise customers (ISMS-INI-010).</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R-010</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MSSP (SentinelWatch) security incident — lateral movement into MediSync</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5 (was 9)</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SentinelWatch security assessment completed (Sep 2026) — SOC 2 Type II confirmed, named analyst access only, no MediSync data cached in SentinelWatch systems, escalation path formalised. Security schedule signed. Per-analyst Sentinel access implementation due Dec 2026 (CHG-011).</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Insecure code deployment — vulnerability introduced in production</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GHAS secret scanning and CodeQL on all repositories (CHG-002). Kubernetes PSS Restricted profile (CHG-008). Dependabot automated dependency scanning (CHG-009). Branch protection and 2-reviewer code review mandatory. Security requirements at sprint start (ISMS-OPS-001 D-05.1). Annual penetration test (Feb 2027).</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Third-party data breach — VaultArchive or SentinelWatch breach exposing MediSync data</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assessment: ISO 27001:2022 certified, S3 Object Lock confirmed, security schedule signed. VaultArchive holds only encrypted data — encryption keys remain with MediSync. SentinelWatch holds only SIEM data (no patient records). MedLink Gulf assessment in progress.</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R-013</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gap — staff enabling social engineering attacks</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All-staff awareness programme live (94% completion). Finance BEC module: 100% completion. Phishing simulation baseline established (Aug 2026). Security Champions operational in 8 departments. ISMS-OPS-001 D-08 acceptable use procedure.</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API-GW compromise — hospital patient data exfiltration at scale</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(unchanged)</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API-GW rate limiting and authentication enforced. Sentinel API-GW anomaly alerts operational. CrowdStrike on all endpoints. NGFW three-tier segmentation. Penetration test scope includes API-GW. No score change — existing controls remain effective.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R-015</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Ransomware — extended outage and potential backup loss</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CLOSED</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S3 Object Lock (Compliance mode) confirmed on all India backup buckets (CHG-006). Azure Immutable Blob Storage confirmed on all UAE backup containers (CHG-007). DR test 21 Oct 2026 confirmed backup recovery from Object Lock-protected archives — VaultArchive could not overwrite or delete during test. Ransomware recovery procedure documented (ISMS-OPS-007 FS-2).</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Insufficient monitoring — incidents not detected in time</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4 (was 8)</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Sentinel alert coverage standard documented and implemented (ISMS-OPS-001 D-03.3 — 6 threat scenario categories). SentinelWatch MSSP 24/7 coverage. Alert triage process formalised (D-03.1). Shift handover procedure prevents alerts falling between shifts. Log retention: 365 days India / 180 days UAE.</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R-017</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exfiltration via shadow IT — unsanctioned apps and personal email</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Acceptable use procedure documented (ISMS-OPS-001 D-08). MDM enforced on all corporate devices — USB blocked, software installation restricted. GlobalProtect VPN with MDM endpoint compliance check. Awareness programme covers shadow IT as a core topic. Cloud App Security monitoring.</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R-018</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management failure — encryption key compromise or loss</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4 (was 8)</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rotation schedule documented and implemented (ISMS-OPS-001 D-06.2). AWS KMS automatic annual rotation enabled. Azure Key Vault rotation policy configured. API key 90-day rotation tracked in ISMS-OPS-002. Break-glass credentials rotated Oct 2026. Compromised key response procedure documented (D-06.3).</w:t>
            </w:r>
          </w:p>
        </w:tc>
      </w:tr>
      <w:tr>
        <w:trPr>
          <w:cantSplit/>
        </w:trPr>
        <w:tc>
          <w:tcPr>
            <w:tcW w:type="dxa" w:w="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security posture unknown — UAE patient data at risk</w:t>
            </w:r>
          </w:p>
        </w:tc>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8 (was 12)</w:t>
            </w:r>
          </w:p>
        </w:tc>
        <w:tc>
          <w:tcPr>
            <w:tcW w:type="dxa" w:w="2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MedLink Gulf Tier 1 assessment in progress (Oct 2026) — questionnaire returned, video walkthrough Nov 2026. DPA in place. Interim risk treatment: MED-HIGH until assessment complete. Not yet closed.</w:t>
            </w:r>
          </w:p>
        </w:tc>
      </w:tr>
      <w:tr>
        <w:trPr>
          <w:cantSplit/>
        </w:trPr>
        <w:tc>
          <w:tcPr>
            <w:tcW w:type="dxa" w:w="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R-020</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Customer data deletion capability unconfirmed per product</w:t>
            </w:r>
          </w:p>
        </w:tc>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6 (was 9)</w:t>
            </w:r>
          </w:p>
        </w:tc>
        <w:tc>
          <w:tcPr>
            <w:tcW w:type="dxa" w:w="2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Deletion capability confirmed per product (ISMS-OPS-001 D-09.4) — all 8 products reviewed and confirmed by VP Engineering and Head of Legal (Oct 2026). Data principal rights procedure operational (D-09.3). G-20 formally closed.</w:t>
            </w:r>
          </w:p>
        </w:tc>
      </w:tr>
    </w:tbl>
    <w:p>
      <w:pPr>
        <w:pStyle w:val="Heading2"/>
        <w:spacing w:after="100" w:before="200"/>
      </w:pPr>
      <w:r>
        <w:rPr>
          <w:rFonts w:ascii="Aptos" w:cs="Aptos" w:eastAsia="Aptos" w:hAnsi="Aptos"/>
          <w:b/>
          <w:bCs/>
          <w:i w:val="false"/>
          <w:iCs w:val="false"/>
          <w:color w:val="000000"/>
          <w:sz w:val="32"/>
          <w:szCs w:val="32"/>
        </w:rPr>
        <w:t xml:space="preserve">2.3 New risk identified in Phase 5</w:t>
      </w:r>
    </w:p>
    <w:p>
      <w:pPr>
        <w:spacing w:after="60" w:before="120"/>
      </w:pPr>
      <w:r>
        <w:rPr>
          <w:rFonts w:ascii="Aptos" w:cs="Aptos" w:eastAsia="Aptos" w:hAnsi="Aptos"/>
          <w:b/>
          <w:bCs/>
          <w:i w:val="false"/>
          <w:iCs w:val="false"/>
          <w:color w:val="000000"/>
          <w:sz w:val="24"/>
          <w:szCs w:val="24"/>
        </w:rPr>
        <w:t xml:space="preserve">R-021: SentinelWatch BCDR — MSSP platform untested for 18 months</w:t>
      </w:r>
    </w:p>
    <w:p>
      <w:pPr>
        <w:spacing w:after="140" w:before="0"/>
        <w:jc w:val="left"/>
      </w:pPr>
      <w:r>
        <w:rPr>
          <w:rFonts w:ascii="Aptos" w:cs="Aptos" w:eastAsia="Aptos" w:hAnsi="Aptos"/>
          <w:b w:val="false"/>
          <w:bCs w:val="false"/>
          <w:i w:val="false"/>
          <w:iCs w:val="false"/>
          <w:color w:val="000000"/>
          <w:sz w:val="24"/>
          <w:szCs w:val="24"/>
        </w:rPr>
        <w:t xml:space="preserve">Identified: September 2026 during SentinelWatch vendor assessment. Inherent score: 9. Phase 5 residual: 6.</w:t>
      </w:r>
    </w:p>
    <w:p>
      <w:pPr>
        <w:spacing w:after="140" w:before="0"/>
        <w:jc w:val="left"/>
      </w:pPr>
      <w:r>
        <w:rPr>
          <w:rFonts w:ascii="Aptos" w:cs="Aptos" w:eastAsia="Aptos" w:hAnsi="Aptos"/>
          <w:b w:val="false"/>
          <w:bCs w:val="false"/>
          <w:i w:val="false"/>
          <w:iCs w:val="false"/>
          <w:color w:val="000000"/>
          <w:sz w:val="24"/>
          <w:szCs w:val="24"/>
        </w:rPr>
        <w:t xml:space="preserve">Identified during SentinelWatch assessment (Sep 2026). SentinelWatch's own BCDR has not been tested for 18 months. Security schedule condition: full BCDR test by March 2027. If SentinelWatch is unavailable, MediSync's internal SOC operates without MSSP support — elevated operational burden but not a security gap.</w:t>
      </w:r>
    </w:p>
    <w:p>
      <w:pPr>
        <w:spacing w:after="140" w:before="0"/>
        <w:jc w:val="left"/>
      </w:pPr>
      <w:r>
        <w:rPr>
          <w:rFonts w:ascii="Aptos" w:cs="Aptos" w:eastAsia="Aptos" w:hAnsi="Aptos"/>
          <w:b w:val="false"/>
          <w:bCs w:val="false"/>
          <w:i/>
          <w:iCs/>
          <w:color w:val="2E75B6"/>
          <w:sz w:val="24"/>
          <w:szCs w:val="24"/>
        </w:rPr>
        <w:t xml:space="preserve">MEDIUM (new). MedSync's mitigation: 9-person internal SOC can cover without MSSP for a limited period. Security schedule condition by Mar 2027 will reduce this risk.</w:t>
      </w:r>
    </w:p>
    <w:p>
      <w:pPr>
        <w:pStyle w:val="Heading1"/>
        <w:spacing w:after="120" w:before="300"/>
      </w:pPr>
      <w:r>
        <w:rPr>
          <w:rFonts w:ascii="Aptos" w:cs="Aptos" w:eastAsia="Aptos" w:hAnsi="Aptos"/>
          <w:b/>
          <w:bCs/>
          <w:i w:val="false"/>
          <w:iCs w:val="false"/>
          <w:color w:val="000000"/>
          <w:sz w:val="36"/>
          <w:szCs w:val="36"/>
        </w:rPr>
        <w:t xml:space="preserve">3. Risks Still at or Above Risk Appetite</w:t>
      </w:r>
    </w:p>
    <w:p>
      <w:pPr>
        <w:spacing w:after="140" w:before="0"/>
        <w:jc w:val="left"/>
      </w:pPr>
      <w:r>
        <w:rPr>
          <w:rFonts w:ascii="Aptos" w:cs="Aptos" w:eastAsia="Aptos" w:hAnsi="Aptos"/>
          <w:b w:val="false"/>
          <w:bCs w:val="false"/>
          <w:i w:val="false"/>
          <w:iCs w:val="false"/>
          <w:color w:val="000000"/>
          <w:sz w:val="24"/>
          <w:szCs w:val="24"/>
        </w:rPr>
        <w:t xml:space="preserve">MediSync's risk appetite is set at MEDIUM (score 5–9) — risks above this band require active treatment and Steering Committee visibility. Three risks remain in the MED-HIGH band (10–14) at Phase 5 close. All three have active treatment plans.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3400"/>
        <w:gridCol w:w="3000"/>
        <w:gridCol w:w="24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ID</w:t>
            </w:r>
          </w:p>
        </w:tc>
        <w:tc>
          <w:tcPr>
            <w:tcW w:type="dxa" w:w="3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Why Still MED-HIGH</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Active Treatment</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Expected Resolution</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
(score 9 — top of MEDIUM; effectively MED-HIGH threshold)</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Finance BEC phishing — 100% of Finance staff trained, but first phishing simulation established baseline click rate only. Behavioural change not yet confirmed by a second simulation.</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phishing simulation Feb 2027. Training refreshed annually. OO-05 objective: 50% click-rate reduction by second simulation.</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Score expected to reduce to 6 after second simulation confirms improvement. If click rate not reduced, escalate to Steering Committee.</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R-004
(score 8)</w:t>
            </w:r>
          </w:p>
        </w:tc>
        <w:tc>
          <w:tcPr>
            <w:tcW w:type="dxa" w:w="3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6-hour notification — procedure is in place and tabletop tested, but execution under real incident pressure is untested. The tabletop revealed the clock was missed by 90 minutes even in a structured exercise.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tabletop retesting (Oct 2027). Real-world incident will be the ultimate test. Escalation contacts documented and confirmed.</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Score expected to remain at 8 until the procedure has been executed successfully in a real incident or a second tabletop with improved results. Cannot be reduced below 6 regardless — CERT-In notification is an execution risk.</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R-009
(score 8)</w:t>
            </w:r>
          </w:p>
        </w:tc>
        <w:tc>
          <w:tcPr>
            <w:tcW w:type="dxa" w:w="3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DPDP Act and UAE PDPL regulatory non-compliance — procedures are in place, but the DPDP Act implementation rules are not fully finalised by the Government of India. The regulatory landscape is still evolving.</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(Legal Register) monitored for regulatory updates. Head of Legal attends relevant regulatory consultations. Next regulatory review at annual management review (Dec 2026).</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Score will not reduce below 6 until DPDP Act implementation rules are finalised and MediSync has confirmed full compliance. Expected H1 2027.</w:t>
            </w:r>
          </w:p>
        </w:tc>
      </w:tr>
    </w:tbl>
    <w:p>
      <w:pPr>
        <w:pStyle w:val="Heading1"/>
        <w:spacing w:after="120" w:before="300"/>
      </w:pPr>
      <w:r>
        <w:rPr>
          <w:rFonts w:ascii="Aptos" w:cs="Aptos" w:eastAsia="Aptos" w:hAnsi="Aptos"/>
          <w:b/>
          <w:bCs/>
          <w:i w:val="false"/>
          <w:iCs w:val="false"/>
          <w:color w:val="000000"/>
          <w:sz w:val="36"/>
          <w:szCs w:val="36"/>
        </w:rPr>
        <w:t xml:space="preserve">4. Risk Register Updates</w:t>
      </w:r>
    </w:p>
    <w:p>
      <w:pPr>
        <w:spacing w:after="140" w:before="0"/>
        <w:jc w:val="left"/>
      </w:pPr>
      <w:r>
        <w:rPr>
          <w:rFonts w:ascii="Aptos" w:cs="Aptos" w:eastAsia="Aptos" w:hAnsi="Aptos"/>
          <w:b w:val="false"/>
          <w:bCs w:val="false"/>
          <w:i w:val="false"/>
          <w:iCs w:val="false"/>
          <w:color w:val="000000"/>
          <w:sz w:val="24"/>
          <w:szCs w:val="24"/>
        </w:rPr>
        <w:t xml:space="preserve">The following changes are made to ISMS-PLN-004 (Risk Register) as a result of this reassessment. The ISMS Manager updates the Risk Register within 5 business days of this report being approved.</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Update</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R-006 — status changed to CLOSED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R-006 (Information security incident causing regulatory breach — no IR plan) is closed. ISMS-OPS-005 v1.0 is the treatment. Residual score updated from 20 to 0. Treatment action TA-006 marked Complete.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R-007 — status changed to CLOSED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R-007 (DR failure — production systems unrecoverable) is closed. ISMS-OPS-007 and the confirmed DR test are the treatment. Residual score updated from 12 to 0. Treatment action TA-007 marked Complete.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R-015 — status changed to CLOSED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R-015 (Ransomware — extended outage and potential backup loss) is closed. S3 Object Lock and Azure Immutable Blob Storage confirmations, plus BCDR Plan, are the treatment. Residual score updated from 12 to 0. Treatment action TA-015 marked Complete.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R-001, R-002, R-003, R-004, R-008, R-009, R-010, R-011, R-012, R-013, R-016, R-017, R-018, R-019, R-020 — residual scores updated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15 risks have reduced residual scores. Risk Register updated with new likelihood, impact, and composite scores. Phase 5 treatment controls referenced. Treatment action status updated to In Progress or Complete as appropriate.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R-021 — new risk added</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New risk: SentinelWatch BCDR — MSSP platform untested for 18 months. Added to Risk Register with inherent score 9, residual score 6. Treatment action: security schedule condition requiring SentinelWatch BCDR test by March 2027. Owner: ISMS Manager (monitoring SentinelWatch compliance).</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 (ISMS-PLN-005) — actions updated</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Treatment actions TA-006, TA-007, TA-015 marked Complete. New treatment action TA-021 added for R-021. All other treatment actions reviewed and status confirmed.</w:t>
            </w:r>
          </w:p>
        </w:tc>
      </w:tr>
    </w:tbl>
    <w:p>
      <w:pPr>
        <w:pStyle w:val="Heading1"/>
        <w:spacing w:after="120" w:before="300"/>
      </w:pPr>
      <w:r>
        <w:rPr>
          <w:rFonts w:ascii="Aptos" w:cs="Aptos" w:eastAsia="Aptos" w:hAnsi="Aptos"/>
          <w:b/>
          <w:bCs/>
          <w:i w:val="false"/>
          <w:iCs w:val="false"/>
          <w:color w:val="000000"/>
          <w:sz w:val="36"/>
          <w:szCs w:val="36"/>
        </w:rPr>
        <w:t xml:space="preserve">5. Risk Appetite Assessment and Phase 6 Outlook</w:t>
      </w:r>
    </w:p>
    <w:p>
      <w:pPr>
        <w:spacing w:after="140" w:before="0"/>
        <w:jc w:val="left"/>
      </w:pPr>
      <w:r>
        <w:rPr>
          <w:rFonts w:ascii="Aptos" w:cs="Aptos" w:eastAsia="Aptos" w:hAnsi="Aptos"/>
          <w:b w:val="false"/>
          <w:bCs w:val="false"/>
          <w:i w:val="false"/>
          <w:iCs w:val="false"/>
          <w:color w:val="000000"/>
          <w:sz w:val="24"/>
          <w:szCs w:val="24"/>
        </w:rPr>
        <w:t xml:space="preserve">At Phase 5 close, 18 of 21 risks (86%) are within appetite (MEDIUM or LOW). Three risks remain above appetite (MED-HIGH). None are HIGH. The programme's objective of eliminating HIGH residual risks has been achieved.</w:t>
      </w:r>
    </w:p>
    <w:p>
      <w:pPr>
        <w:spacing w:after="140" w:before="60"/>
        <w:jc w:val="left"/>
      </w:pPr>
      <w:r>
        <w:rPr>
          <w:rFonts w:ascii="Aptos" w:cs="Aptos" w:eastAsia="Aptos" w:hAnsi="Aptos"/>
          <w:b w:val="false"/>
          <w:bCs w:val="false"/>
          <w:i w:val="false"/>
          <w:iCs w:val="false"/>
          <w:color w:val="000000"/>
          <w:sz w:val="24"/>
          <w:szCs w:val="24"/>
        </w:rPr>
        <w:t xml:space="preserve">Phase 6 (Performance Evaluation) will introduce the internal audit programme. The internal audit will independently verify that the controls implemented in Phase 5 are operating as documented — not just that the documentation exists. The audit programme may identify control effectiveness gaps that this self-assessment does not.</w:t>
      </w:r>
    </w:p>
    <w:p>
      <w:pPr>
        <w:spacing w:after="140" w:before="60"/>
        <w:jc w:val="left"/>
      </w:pPr>
      <w:r>
        <w:rPr>
          <w:rFonts w:ascii="Aptos" w:cs="Aptos" w:eastAsia="Aptos" w:hAnsi="Aptos"/>
          <w:b w:val="false"/>
          <w:bCs w:val="false"/>
          <w:i w:val="false"/>
          <w:iCs w:val="false"/>
          <w:color w:val="000000"/>
          <w:sz w:val="24"/>
          <w:szCs w:val="24"/>
        </w:rPr>
        <w:t xml:space="preserve">The risk posture at Phase 5 is appropriate for proceeding to Stage 1 certification audit. The three remaining MED-HIGH risks all have documented treatment plans with defined timelines. There are no risks above appetite for which treatment has been deferred or accepted without a documented reason.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 6 risk focus area</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Rationale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 Phishing click rate — second simulation Feb 2027</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simulation established baseline. Second simulation will confirm whether the awareness programme has produced behavioural change. If click rate is not reduced by ≥50%, the programme requires redesign.</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R-004 CERT-In notification — real-world execution</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tabletop revealed a 90-minute delay in triggering the 6-hour clock. That delay has been addressed in ISMS-OPS-005. But procedure following under real incident pressure is different from a tabletop. Phase 6 monitoring will track any real incidents against the procedure.</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R-019 MedLink Gulf assessment completion — Nov 2026</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is in progress. Phase 6 monitoring will confirm completion and risk score update before management review (Dec 2026).</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R-021 SentinelWatch BCDR test — Mar 2027</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schedule condition. Phase 6 monitoring will confirm SentinelWatch has completed the BCDR test and shared results with MediSync.</w:t>
            </w:r>
          </w:p>
        </w:tc>
      </w:tr>
    </w:tbl>
    <w:p>
      <w:pPr>
        <w:pStyle w:val="Heading1"/>
        <w:spacing w:after="120" w:before="300"/>
      </w:pPr>
      <w:r>
        <w:rPr>
          <w:rFonts w:ascii="Aptos" w:cs="Aptos" w:eastAsia="Aptos" w:hAnsi="Aptos"/>
          <w:b/>
          <w:bCs/>
          <w:i w:val="false"/>
          <w:iCs w:val="false"/>
          <w:color w:val="000000"/>
          <w:sz w:val="36"/>
          <w:szCs w:val="36"/>
        </w:rPr>
        <w:t xml:space="preserve">6.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 applied consistently. All Phase 5 controls confirmed operational.</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29 Oct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posture assessment approved. Risk Register updates authorised.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Oct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Vikram Sundaram, Chief Information Security Officer, MediSync Technologies Pvt. Ltd.</w:t>
      </w:r>
    </w:p>
    <w:p>
      <w:pPr>
        <w:spacing w:after="140" w:before="60"/>
        <w:jc w:val="left"/>
      </w:pPr>
      <w:r>
        <w:rPr>
          <w:rFonts w:ascii="Aptos" w:cs="Aptos" w:eastAsia="Aptos" w:hAnsi="Aptos"/>
          <w:b w:val="false"/>
          <w:bCs w:val="false"/>
          <w:i/>
          <w:iCs/>
          <w:color w:val="000000"/>
          <w:sz w:val="24"/>
          <w:szCs w:val="24"/>
        </w:rPr>
        <w:t xml:space="preserve">This report will be presented to the ISMS Steering Committee at the next quarterly meeting (January 2027) as part of the Phase 5 gate closure package.</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Restricted — CISO and Steering Committee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ISMS-OPS-011  |  Operational Risk Reassessment Report  |  RESTRICTED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2026-09-03T10:26:35.096Z</dcterms:created>
  <dcterms:modified xsi:type="dcterms:W3CDTF">2026-09-03T10:26:35.108Z</dcterms:modified>
</cp:coreProperties>
</file>

<file path=docProps/custom.xml><?xml version="1.0" encoding="utf-8"?>
<Properties xmlns="http://schemas.openxmlformats.org/officeDocument/2006/custom-properties" xmlns:vt="http://schemas.openxmlformats.org/officeDocument/2006/docPropsVTypes"/>
</file>