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MONITORING &amp; MEASUREMENT PLAN</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&amp; Measurement Plan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9.1 — Monitoring, Measurement, Analysis and Evaluation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 (Clause 9), Item 1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 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Reviewed at each management review cycle.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ISMS-PEV-002 KPI Log | ISMS-LDR-002 IS Objectives | ISMS-OPS-002 Control Evidence Log | ISMS-PLN-004 Risk Register</w:t>
            </w:r>
          </w:p>
        </w:tc>
      </w:tr>
    </w:tbl>
    <w:p>
      <w:pPr>
        <w:spacing w:after="200" w:before="140"/>
        <w:jc w:val="left"/>
      </w:pPr>
      <w:r>
        <w:rPr>
          <w:rFonts w:ascii="Aptos" w:cs="Aptos" w:eastAsia="Aptos" w:hAnsi="Aptos"/>
          <w:b w:val="false"/>
          <w:bCs w:val="false"/>
          <w:i/>
          <w:iCs/>
          <w:color w:val="000000"/>
          <w:sz w:val="24"/>
          <w:szCs w:val="24"/>
        </w:rPr>
        <w:t xml:space="preserve">This plan defines what MediSync measures about its ISMS, how each measurement is taken, how frequently, by whom, and what constitutes a satisfactory or unsatisfactory result. It is the operational specification that makes Clause 9.1 concrete — not a statement of intent but a schedule with owners and thresholds.</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800"/>
        <w:gridCol w:w="45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Nov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all KPI categories and metrics defined.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 2026</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CISO and Steering Committee. Plan in force from 1 Dec 2026.</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Log</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live record where KPI measurements are recorded against this plan's metrics. PEV-001 defines what to measure; PEV-002 records the measurements.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Document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11 strategic objectives (O-01 to O-11) and 10 operational objectives (OO-01 to OO-10) that this plan measures progress against.</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Evidence Log</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Tab 2 (Evidence Summary) provides control implementation percentages measured by this plan.</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scores and treatment action status measured monthly and reported quarterly.</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Communication Plan</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GRC status report (I-04) and quarterly Steering Committee (I-05) are the primary reporting channels for the measurements in this plan.</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9.1 requires that MediSync determines what needs to be monitored and measured, the methods for monitoring and measurement, when the monitoring and measurement is performed, who monitors and measures, when results are analysed and evaluated, and who analyses and evaluates the results.</w:t>
      </w:r>
    </w:p>
    <w:p>
      <w:pPr>
        <w:spacing w:after="140" w:before="0"/>
        <w:jc w:val="left"/>
      </w:pPr>
      <w:r>
        <w:rPr>
          <w:rFonts w:ascii="Aptos" w:cs="Aptos" w:eastAsia="Aptos" w:hAnsi="Aptos"/>
          <w:b w:val="false"/>
          <w:bCs w:val="false"/>
          <w:i w:val="false"/>
          <w:iCs w:val="false"/>
          <w:color w:val="000000"/>
          <w:sz w:val="24"/>
          <w:szCs w:val="24"/>
        </w:rPr>
        <w:t xml:space="preserve">This plan answers every one of those questions for every metric MediSync tracks. It is the difference between an ISMS that monitors by instinct and one that monitors by design. A certification body auditor asking "how do you know your ISMS is effective?" gets pointed to this plan and to the KPI Log (ISMS-PEV-002) that records the actual measurements.</w:t>
      </w:r>
    </w:p>
    <w:p>
      <w:pPr>
        <w:spacing w:after="140" w:before="60"/>
        <w:jc w:val="left"/>
      </w:pPr>
      <w:r>
        <w:rPr>
          <w:rFonts w:ascii="Aptos" w:cs="Aptos" w:eastAsia="Aptos" w:hAnsi="Aptos"/>
          <w:b w:val="false"/>
          <w:bCs w:val="false"/>
          <w:i w:val="false"/>
          <w:iCs w:val="false"/>
          <w:color w:val="000000"/>
          <w:sz w:val="24"/>
          <w:szCs w:val="24"/>
        </w:rPr>
        <w:t xml:space="preserve">The plan covers four measurement categories: (1) control effectiveness — are the Annex A controls working as intended; (2) risk posture — are risks moving in the right direction; (3) programme objectives — are the 21 information security objectives on track; and (4) operational health — are the day-to-day ISMS processes functioning correctly.</w:t>
      </w:r>
    </w:p>
    <w:p>
      <w:pPr>
        <w:pStyle w:val="Heading1"/>
        <w:spacing w:after="120" w:before="300"/>
      </w:pPr>
      <w:r>
        <w:rPr>
          <w:rFonts w:ascii="Aptos" w:cs="Aptos" w:eastAsia="Aptos" w:hAnsi="Aptos"/>
          <w:b/>
          <w:bCs/>
          <w:i w:val="false"/>
          <w:iCs w:val="false"/>
          <w:color w:val="000000"/>
          <w:sz w:val="36"/>
          <w:szCs w:val="36"/>
        </w:rPr>
        <w:t xml:space="preserve">2. Measurement Framework</w:t>
      </w:r>
    </w:p>
    <w:p>
      <w:pPr>
        <w:spacing w:after="140" w:before="0"/>
        <w:jc w:val="left"/>
      </w:pPr>
      <w:r>
        <w:rPr>
          <w:rFonts w:ascii="Aptos" w:cs="Aptos" w:eastAsia="Aptos" w:hAnsi="Aptos"/>
          <w:b w:val="false"/>
          <w:bCs w:val="false"/>
          <w:i w:val="false"/>
          <w:iCs w:val="false"/>
          <w:color w:val="000000"/>
          <w:sz w:val="24"/>
          <w:szCs w:val="24"/>
        </w:rPr>
        <w:t xml:space="preserve">Every metric in this plan follows the same structure. This makes the plan auditable — any metric can be verified independently by checking the measurement method against the actual data source.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Metric ID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Unique identifier (KPI-001 onward). Referenced in ISMS-PEV-002 (KPI Log).</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Metric name</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Short descriptive name.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is measured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specific thing being measured — not the outcome, but the observable fact.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Measurement method</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the measurement is taken — which tool, query, report, or manual check produces the number.</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source</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Where the data comes from — which system, log, report, or document.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Measurement frequency</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often the measurement is taken.</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Measured by</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named role responsible for taking and recording the measurement.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Reported to</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Who receives the measurement result and in what format.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Target / threshold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a satisfactory result looks like. A measurement without a target is an observation — it cannot tell you whether performance is acceptable.</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Escalation threshold</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value at which the CISO or Steering Committee must be notified. Some metrics have a satisfactory range — the escalation threshold is the outer edge of acceptable variation.</w:t>
            </w:r>
          </w:p>
        </w:tc>
      </w:tr>
    </w:tbl>
    <w:p>
      <w:pPr>
        <w:pStyle w:val="Heading1"/>
        <w:spacing w:after="120" w:before="300"/>
      </w:pPr>
      <w:r>
        <w:rPr>
          <w:rFonts w:ascii="Aptos" w:cs="Aptos" w:eastAsia="Aptos" w:hAnsi="Aptos"/>
          <w:b/>
          <w:bCs/>
          <w:i w:val="false"/>
          <w:iCs w:val="false"/>
          <w:color w:val="000000"/>
          <w:sz w:val="36"/>
          <w:szCs w:val="36"/>
        </w:rPr>
        <w:t xml:space="preserve">3. Category 1 — Control Effectiveness Metrics</w:t>
      </w:r>
    </w:p>
    <w:p>
      <w:pPr>
        <w:spacing w:after="140" w:before="0"/>
        <w:jc w:val="left"/>
      </w:pPr>
      <w:r>
        <w:rPr>
          <w:rFonts w:ascii="Aptos" w:cs="Aptos" w:eastAsia="Aptos" w:hAnsi="Aptos"/>
          <w:b w:val="false"/>
          <w:bCs w:val="false"/>
          <w:i w:val="false"/>
          <w:iCs w:val="false"/>
          <w:color w:val="000000"/>
          <w:sz w:val="24"/>
          <w:szCs w:val="24"/>
        </w:rPr>
        <w:t xml:space="preserve">These metrics measure whether specific Annex A controls are working as intended in production. Control documentation says what the control should do; these metrics check whether it is actually doing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400"/>
        <w:gridCol w:w="2200"/>
        <w:gridCol w:w="2000"/>
        <w:gridCol w:w="1200"/>
        <w:gridCol w:w="13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KPI ID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 Name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 Method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Data Source</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Frequency</w:t>
            </w:r>
          </w:p>
        </w:tc>
        <w:tc>
          <w:tcPr>
            <w:tcW w:type="dxa" w:w="1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enforcement rate — all Entra ID accounts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Sign-in logs query: count of successful authentications without MFA as % of total successful authentications. Target: 0%.</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Entra ID Sign-in logs (Sentinel)</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 no MFA bypass. Escalation: any non-zero result → CISO same day.</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Stale account detection — hospital-facing admin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access review: count of accounts not signed in for &gt;90 days in the hospital admin group as % of total. Quarterly review output.</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access review (OPS-009 REV series)</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stale accounts at end of review. Escalation: any stale account found → disable within 24h.</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Privileged account PIM activation outside normal hours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Entra ID PIM audit log: count of PIM activations between 22:00–06:00 IST per month. Alert fires for each; measure total count.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Entra ID PIM audit log (Sentinel)</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&lt;2 per month (emergency maintenance expected). Escalation: &gt;5 in a month or any unscheduled activation → CISO review.</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configuration drift alerts — fired per month</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 alert count for the 5 mandatory alert categories (OPS-001 D-02.3): public storage, IAM wildcard, security group change, CloudTrail disabled, root login.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Sentinel alert log</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CRITICAL unresolved within SLA (&gt;30 min). Report total count; flag any SLA breach. Escalation: any Critical SLA breach → CISO same day.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scan coverage — production systems scanned</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Tenable Nessus scan completion report: % of production hosts in scope that were successfully scanned in the monthly scan cycle.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Tenable Nessus scan reports</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 of in-scope hosts scanned. Escalation: &lt;90% → SOC Manager review and remediation plan.</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KPI-006</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 / High vulnerability remediation within SLA</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Tenable Nessus finding age report: % of Critical findings remediated within 72h; % of High findings remediated within 30 days.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Tenable Nessus finding tracker (OPS-002)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 100% within 72h. High: ≥90% within 30 days. Escalation: any Critical SLA breach → CISO same day. High &lt;80% → CISO within 1 week.</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KPI-007</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EDR coverage — managed endpoints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console: % of managed endpoints with CrowdStrike sensor installed and active.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management console</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≥98% of managed endpoints covered. Escalation: &lt;95% → IT Operations investigation within 24h.</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KPI-008</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Secret scanning alerts resolved — GitHub Advanced Security</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Advanced Security: count of open secret scanning alerts older than 24h (unresolved). Target: 0.</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Advanced Security alerts dashboard</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Weekly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open secret alerts &gt;24h old. Escalation: any unresolved alert &gt;48h → CISO notification.</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KPI-009</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 verification pass rate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ISMS-OPS-008 Tab 4 (Backup Verification Log): % of scheduled backup verifications completed and passed in the period.</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ISMS-OPS-008 Backup Verification Log</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scheduled verifications completed. 100% PASS. Escalation: any FAIL → Head of Cloud Infra same day; CISO within 4h.</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rotation compliance — secrets &gt;90 days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Secrets Manager and Azure Key Vault: count of secrets with last rotation date &gt;90 days.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Secrets Manager rotation report; Azure Key Vault rotation policy alerts</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secrets &gt;90 days unrotated. Escalation: any &gt;120 days → CISO within 48h.</w:t>
            </w:r>
          </w:p>
        </w:tc>
      </w:tr>
    </w:tbl>
    <w:p>
      <w:pPr>
        <w:pStyle w:val="Heading1"/>
        <w:spacing w:after="120" w:before="300"/>
      </w:pPr>
      <w:r>
        <w:rPr>
          <w:rFonts w:ascii="Aptos" w:cs="Aptos" w:eastAsia="Aptos" w:hAnsi="Aptos"/>
          <w:b/>
          <w:bCs/>
          <w:i w:val="false"/>
          <w:iCs w:val="false"/>
          <w:color w:val="000000"/>
          <w:sz w:val="36"/>
          <w:szCs w:val="36"/>
        </w:rPr>
        <w:t xml:space="preserve">4. Category 2 — Risk Posture Metrics</w:t>
      </w:r>
    </w:p>
    <w:p>
      <w:pPr>
        <w:spacing w:after="140" w:before="0"/>
        <w:jc w:val="left"/>
      </w:pPr>
      <w:r>
        <w:rPr>
          <w:rFonts w:ascii="Aptos" w:cs="Aptos" w:eastAsia="Aptos" w:hAnsi="Aptos"/>
          <w:b w:val="false"/>
          <w:bCs w:val="false"/>
          <w:i w:val="false"/>
          <w:iCs w:val="false"/>
          <w:color w:val="000000"/>
          <w:sz w:val="24"/>
          <w:szCs w:val="24"/>
        </w:rPr>
        <w:t xml:space="preserve">These metrics track the movement of MediSync's risk register over time. Individual risk scores matter less than the direction of travel — are risks reducing as treatments are implemented, or are they holding steady or increasing?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400"/>
        <w:gridCol w:w="2200"/>
        <w:gridCol w:w="2000"/>
        <w:gridCol w:w="1200"/>
        <w:gridCol w:w="13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KPI ID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 Name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 Method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Data Source</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Frequency</w:t>
            </w:r>
          </w:p>
        </w:tc>
        <w:tc>
          <w:tcPr>
            <w:tcW w:type="dxa" w:w="1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above appetite (MED-HIGH or HIGH)</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count of risks with residual score ≥10.</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at Phase 6 start; target ≤2 by management review (Dec 2026); 0 HIGH at all times. Escalation: any new HIGH risk → CISO and Steering Committee same day.</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actions overdue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 (ISMS-PLN-005): count of treatment actions past their target date with status not Complete.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 Risk Treatment Plan</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treatment actions overdue by more than 30 days. Escalation: any action overdue by &gt;60 days → Steering Committee.</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risks identified per quarter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additions: count of new risks added in the quarter (any source: incident, audit, assessment, staff report).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 change log</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target — this is a directional metric. An increasing trend suggests the risk identification process is working (good) or the threat environment is worsening (needs investigation).</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score trend — average residual score across all 21 risks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calculate mean residual score across all active risks. Track month-on-month trend.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Downward trend across Phase 6. Escalation: any quarter where the mean score increases → ISMS Manager investigation and report to CISO.</w:t>
            </w:r>
          </w:p>
        </w:tc>
      </w:tr>
    </w:tbl>
    <w:p>
      <w:pPr>
        <w:pStyle w:val="Heading1"/>
        <w:spacing w:after="120" w:before="300"/>
      </w:pPr>
      <w:r>
        <w:rPr>
          <w:rFonts w:ascii="Aptos" w:cs="Aptos" w:eastAsia="Aptos" w:hAnsi="Aptos"/>
          <w:b/>
          <w:bCs/>
          <w:i w:val="false"/>
          <w:iCs w:val="false"/>
          <w:color w:val="000000"/>
          <w:sz w:val="36"/>
          <w:szCs w:val="36"/>
        </w:rPr>
        <w:t xml:space="preserve">5. Category 3 — Information Security Objectives</w:t>
      </w:r>
    </w:p>
    <w:p>
      <w:pPr>
        <w:spacing w:after="140" w:before="0"/>
        <w:jc w:val="left"/>
      </w:pPr>
      <w:r>
        <w:rPr>
          <w:rFonts w:ascii="Aptos" w:cs="Aptos" w:eastAsia="Aptos" w:hAnsi="Aptos"/>
          <w:b w:val="false"/>
          <w:bCs w:val="false"/>
          <w:i w:val="false"/>
          <w:iCs w:val="false"/>
          <w:color w:val="000000"/>
          <w:sz w:val="24"/>
          <w:szCs w:val="24"/>
        </w:rPr>
        <w:t xml:space="preserve">These metrics track progress against the 21 information security objectives defined in ISMS-LDR-002 (11 strategic, 10 operational). The objectives are MediSync's self-defined commitments — the metrics confirm whether those commitments are being met.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400"/>
        <w:gridCol w:w="2200"/>
        <w:gridCol w:w="2000"/>
        <w:gridCol w:w="1200"/>
        <w:gridCol w:w="13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KPI ID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 Name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 Method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Data Source</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Frequency</w:t>
            </w:r>
          </w:p>
        </w:tc>
        <w:tc>
          <w:tcPr>
            <w:tcW w:type="dxa" w:w="1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training completion — all staff (OO-01)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completion report: % of staff who have completed the current annual module cycle.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completion report (ISMS-SUP-004)</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during active window; quarterly otherwise</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 per department. Escalation: any department &lt;80% at two-week mark → COO follow-up (LDR-009 A-08).</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KPI-016</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click-rate reduction (OO-05)</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results: click rate % in the current simulation vs the baseline (Aug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phishing simulation report</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Semi-annual (Aug 2026 baseline; Feb 2027 second simulation)</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≥50% click rate reduction between baseline and second simulation. Escalation: &lt;30% reduction → awareness programme redesign review.</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KPI-017</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questionnaire response time (OO-08)</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 CRM or email records: time from receipt of customer security questionnaire to ISMS-Manager-approved response sent.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Sales (Karan Bhatia) records; ISMS Manager approval timestamps</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(report on any questionnaires received)</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business days post-certification. Pre-certification: best-effort with ISMS Manager sign-off. Escalation: any questionnaire unanswered at 10 business days → CISO.</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KPI-018</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notification SLA compliance — CERT-In 6-hour window</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 any declared incident assessed as potentially CERT-In reportable: time from detection (OPS-006 detect timestamp) to CERT-In submission (NTF log timestamp). Measured per incident.</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ISMS-OPS-006 Incident Register; Regulatory Notification Log</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incident</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reportable incidents notified within 6 hours of detection. Escalation: any miss → nonconformity (ISMS-IMP-002) and immediate CISO + Legal review.</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KPI-019</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assessment currency — Tier 1 vendors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ISMS-OPS-004 Supplier Register: count of Tier 1 vendors with assessment date &gt;12 months ago.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ISMS-OPS-004 Supplier Register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Tier 1 vendors with assessment &gt;12 months overdue. Escalation: any vendor overdue by &gt;3 months → ISMS Manager escalation to CISO.</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DPA coverage — enterprise customers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 count of active enterprise customers without a current, signed DPA.</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 (DPA tab)</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active enterprise customers without a current DPA. Escalation: any unsigned DPA → Head of Legal and Head of Customer Success immediate action.</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 completion — hospital-facing admin accounts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ISMS-OPS-009 Access Review Log: review completed within 10 business days of the review period opening, for all quarterly cycles.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ISMS-OPS-009 Access Review Log</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complete within 10 business days, every quarter. Escalation: review not complete by day 15 → CISO notification.</w:t>
            </w:r>
          </w:p>
        </w:tc>
      </w:tr>
    </w:tbl>
    <w:p>
      <w:pPr>
        <w:pStyle w:val="Heading1"/>
        <w:spacing w:after="120" w:before="300"/>
      </w:pPr>
      <w:r>
        <w:rPr>
          <w:rFonts w:ascii="Aptos" w:cs="Aptos" w:eastAsia="Aptos" w:hAnsi="Aptos"/>
          <w:b/>
          <w:bCs/>
          <w:i w:val="false"/>
          <w:iCs w:val="false"/>
          <w:color w:val="000000"/>
          <w:sz w:val="36"/>
          <w:szCs w:val="36"/>
        </w:rPr>
        <w:t xml:space="preserve">6. Category 4 — Operational Health Metrics</w:t>
      </w:r>
    </w:p>
    <w:p>
      <w:pPr>
        <w:spacing w:after="140" w:before="0"/>
        <w:jc w:val="left"/>
      </w:pPr>
      <w:r>
        <w:rPr>
          <w:rFonts w:ascii="Aptos" w:cs="Aptos" w:eastAsia="Aptos" w:hAnsi="Aptos"/>
          <w:b w:val="false"/>
          <w:bCs w:val="false"/>
          <w:i w:val="false"/>
          <w:iCs w:val="false"/>
          <w:color w:val="000000"/>
          <w:sz w:val="24"/>
          <w:szCs w:val="24"/>
        </w:rPr>
        <w:t xml:space="preserve">These metrics measure the health of the ISMS programme processes themselves — not whether specific controls are working, but whether the processes that sustain controls over time are functioning.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400"/>
        <w:gridCol w:w="2200"/>
        <w:gridCol w:w="2000"/>
        <w:gridCol w:w="1200"/>
        <w:gridCol w:w="13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KPI ID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 Name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 Method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Data Source</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Frequency</w:t>
            </w:r>
          </w:p>
        </w:tc>
        <w:tc>
          <w:tcPr>
            <w:tcW w:type="dxa" w:w="1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review overdue — controlled ISMS documents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ISMS-SUP-009 Master List: count of documents whose Review Due date is in the past and whose status is not "Under Review" or "Approved (reviewed)".</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ISMS-SUP-009 Document Register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documents overdue for review by more than 30 days. Escalation: any document overdue by &gt;60 days → ISMS Manager escalation to document owner.</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KPI-023</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 unauthorised changes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ISMS-OPS-010 Change Register: count of changes identified in post-implementation reviews or Sentinel alerts that do not have a corresponding approved change record.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ISMS-OPS-010 Change Register; Sentinel configuration drift alerts</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unauthorised changes. Escalation: any confirmed unauthorised change → nonconformity (ISMS-IMP-002) and CISO review.</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KPI-024</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Forum attendance rate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ISMS-SUP-006 Attendance Log: % of the 8 Security Champions who attended each monthly forum session.</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ISMS-SUP-006 Awareness Session Attendance Records</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≥7/8 Champions at each forum (87.5%). Escalation: &lt;6/8 for two consecutive months → ISMS Manager review with relevant department head.</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KPI-025</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closure rate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ISMS-IMP-002 Nonconformity Register: % of nonconformities raised that have been formally closed within their agreed target date.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ISMS-IMP-002 Nonconformity Register</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≥90% of nonconformities closed within agreed target date. Escalation: any nonconformity open &gt;60 days beyond target → Steering Committee.</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KPI-026</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meeting regularity</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calendar and minutes: was the quarterly Steering Committee meeting held within 2 weeks of its scheduled date?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calendar; ISMS-LDR-006 charter; Steering Committee minutes</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meetings per year held within 2 weeks of scheduled date. Escalation: meeting deferred &gt;4 weeks → CEO notification.</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KPI-027</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programme adherence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ISMS-PEV-003 (Internal Audit Programme): has each planned audit been conducted within the scheduled window?</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ISMS-PEV-003; ISMS-PEV-004 Audit Plan; ISMS-PEV-005 Audit Report</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 audit cycle</w:t>
            </w:r>
          </w:p>
        </w:tc>
        <w:tc>
          <w:tcPr>
            <w:tcW w:type="dxa" w:w="1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scheduled audits conducted within the programme window. Escalation: any audit deferred by &gt;4 weeks without CISO approval → nonconformity.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KPI-028</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BCDR test — security schedule condition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Confirmation from SentinelWatch that their BCDR test has been completed and results shared with MediSync, by March 2027.</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security schedule; ISMS-OPS-004 Supplier Register condition tracker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One-off (due Mar 2027)</w:t>
            </w:r>
          </w:p>
        </w:tc>
        <w:tc>
          <w:tcPr>
            <w:tcW w:type="dxa" w:w="1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Test completed and results received by 31 March 2027. Escalation: not received by 31 March 2027 → CISO initiates out-of-cycle vendor reassessment.</w:t>
            </w:r>
          </w:p>
        </w:tc>
      </w:tr>
    </w:tbl>
    <w:p>
      <w:pPr>
        <w:pStyle w:val="Heading1"/>
        <w:spacing w:after="120" w:before="300"/>
      </w:pPr>
      <w:r>
        <w:rPr>
          <w:rFonts w:ascii="Aptos" w:cs="Aptos" w:eastAsia="Aptos" w:hAnsi="Aptos"/>
          <w:b/>
          <w:bCs/>
          <w:i w:val="false"/>
          <w:iCs w:val="false"/>
          <w:color w:val="000000"/>
          <w:sz w:val="36"/>
          <w:szCs w:val="36"/>
        </w:rPr>
        <w:t xml:space="preserve">7. Reporting Schedule</w:t>
      </w:r>
    </w:p>
    <w:p>
      <w:pPr>
        <w:spacing w:after="140" w:before="0"/>
        <w:jc w:val="left"/>
      </w:pPr>
      <w:r>
        <w:rPr>
          <w:rFonts w:ascii="Aptos" w:cs="Aptos" w:eastAsia="Aptos" w:hAnsi="Aptos"/>
          <w:b w:val="false"/>
          <w:bCs w:val="false"/>
          <w:i w:val="false"/>
          <w:iCs w:val="false"/>
          <w:color w:val="000000"/>
          <w:sz w:val="24"/>
          <w:szCs w:val="24"/>
        </w:rPr>
        <w:t xml:space="preserve">Measurements are taken at the frequencies defined in Sections 3–6. Results are reported through two channels: the monthly GRC status report (ISMS-SUP-007 I-04) and the quarterly Steering Committee presentation (ISMS-SUP-007 I-05).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Report</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it contains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GRC status report
(produced by ISMS Manager, distributed to CISO + COO + CFO)</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monthly KPIs (KPI-001 to 028 with monthly frequency): RAG status, actual value vs target, trend vs prior month. Any escalations triggered. Any new incidents, nonconformities, or risk register changes. Sent within 5 working days of month-end.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Steering Committee presentation
(produced by ISMS Manager + CISO, presented at Steering Committee meeting)</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quarterly KPIs plus a summary of the monthly trend. Risk register top risks. Objectives progress (O-01 to O-11 RAG). Any Annex A control gaps identified. Any nonconformities open &gt;30 days. Treatment plan actions due in the coming quarter. Certification body timeline update.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 input pack
(produced by ISMS Manager, reviewed at Dec 2026 management review)</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year summary of all KPIs. Objectives performance vs targets. Internal audit findings (ISMS-PEV-005). Risk posture trend. Awareness programme effectiveness (including phishing simulation results). Resource adequacy assessment. Improvement actions for the coming year.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Ad-hoc escalation reports
(produced by ISMS Manager or CISO on trigger)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Produced when an escalation threshold is breached (as defined in each KPI). Recipients depend on the KPI — CISO for most, Steering Committee for HIGH risks and programme-level issues, CEO for CRITICAL incidents. Format: brief written report with recommended action.</w:t>
            </w:r>
          </w:p>
        </w:tc>
      </w:tr>
    </w:tbl>
    <w:p>
      <w:pPr>
        <w:pStyle w:val="Heading1"/>
        <w:spacing w:after="120" w:before="300"/>
      </w:pPr>
      <w:r>
        <w:rPr>
          <w:rFonts w:ascii="Aptos" w:cs="Aptos" w:eastAsia="Aptos" w:hAnsi="Aptos"/>
          <w:b/>
          <w:bCs/>
          <w:i w:val="false"/>
          <w:iCs w:val="false"/>
          <w:color w:val="000000"/>
          <w:sz w:val="36"/>
          <w:szCs w:val="36"/>
        </w:rPr>
        <w:t xml:space="preserve">8. Measurement Responsibilities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 responsibilities</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Meera Iyer (Plan Owner)</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this plan. Produces the monthly GRC status report and quarterly Steering Committee pack. Maintains the KPI Log (ISMS-PEV-002). Monitors all KPIs and triggers escalations. Initiates annual plan review.</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Vikram Sundaram</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Reviews monthly GRC status report. Approves escalation decisions. Makes decisions on risk treatment acceleration where metrics show deterioration. Presents quarterly Steering Committee KPI summary.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Neha Choudhury</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KPI-004 (Sentinel drift alerts), KPI-005 (vulnerability scan coverage), KPI-006 (remediation SLA), KPI-008 (GHAS secret alerts). Provides measurement data to ISMS Manager by the 3rd working day of each month.</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 Sana Al Farsi</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KPI-007 (CrowdStrike coverage), KPI-009 (backup verification), KPI-010 (key rotation). Provides measurement data to ISMS Manager by the 3rd working day of each month.</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KPI-001 (MFA rate — monthly Entra query), KPI-002 (stale account review — quarterly), KPI-003 (PIM activations). Provides measurement data to ISMS Manager by the 3rd working day of each month.</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 Priya Subramaniam</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KPI-015 (awareness completion), KPI-016 (phishing simulation). Provides platform completion reports to ISMS Manager monthly.</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Sales — Karan Bhatia</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KPI-017 (security questionnaire response time) — routes questionnaires to ISMS Manager and records receipt date. ISMS Manager records sign-off date.</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 Omar Al Mansoori</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KPI-020 (DPA coverage). Reviews and confirms DPA status quarterly with ISMS Manager.</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(×8)</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Provide department-level data for KPI-015 (awareness completion per department) and KPI-024 (forum attendance). Report monthly to ISMS Manager.</w:t>
            </w:r>
          </w:p>
        </w:tc>
      </w:tr>
    </w:tbl>
    <w:p>
      <w:pPr>
        <w:pStyle w:val="Heading1"/>
        <w:spacing w:after="120" w:before="300"/>
      </w:pPr>
      <w:r>
        <w:rPr>
          <w:rFonts w:ascii="Aptos" w:cs="Aptos" w:eastAsia="Aptos" w:hAnsi="Aptos"/>
          <w:b/>
          <w:bCs/>
          <w:i w:val="false"/>
          <w:iCs w:val="false"/>
          <w:color w:val="000000"/>
          <w:sz w:val="36"/>
          <w:szCs w:val="36"/>
        </w:rPr>
        <w:t xml:space="preserve">9. Plan Review and Maintenance</w:t>
      </w:r>
    </w:p>
    <w:p>
      <w:pPr>
        <w:spacing w:after="140" w:before="0"/>
        <w:jc w:val="left"/>
      </w:pPr>
      <w:r>
        <w:rPr>
          <w:rFonts w:ascii="Aptos" w:cs="Aptos" w:eastAsia="Aptos" w:hAnsi="Aptos"/>
          <w:b w:val="false"/>
          <w:bCs w:val="false"/>
          <w:i w:val="false"/>
          <w:iCs w:val="false"/>
          <w:color w:val="000000"/>
          <w:sz w:val="24"/>
          <w:szCs w:val="24"/>
        </w:rPr>
        <w:t xml:space="preserve">This plan is reviewed annually at the management review (ISMS-PEV-008). The review assesses whether the metrics remain relevant and whether the targets remain appropriate. Specific triggers for an earlier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new significant risk is identified that is not covered by any existing KPI.</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metric consistently fails to detect a control weakness that was subsequently identified by another means (audit, incident, external report).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metric target proves consistently unachievable — suggesting the target was set incorrectly or the control is not fit for purpose.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material change in the ISMS scope, architecture, or regulatory requirements makes an existing metric no longer meaningful.</w:t>
      </w:r>
    </w:p>
    <w:p>
      <w:pPr>
        <w:spacing w:after="140" w:before="60"/>
        <w:jc w:val="left"/>
      </w:pPr>
      <w:r>
        <w:rPr>
          <w:rFonts w:ascii="Aptos" w:cs="Aptos" w:eastAsia="Aptos" w:hAnsi="Aptos"/>
          <w:b w:val="false"/>
          <w:bCs w:val="false"/>
          <w:i w:val="false"/>
          <w:iCs w:val="false"/>
          <w:color w:val="000000"/>
          <w:sz w:val="24"/>
          <w:szCs w:val="24"/>
        </w:rPr>
        <w:t xml:space="preserve">Metric additions or removals are treated as a change to a controlled document — processed under ISMS-PLN-009 (Change Management) and updated in ISMS-SUP-009 (Master List).</w:t>
      </w:r>
    </w:p>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Nov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categories and thresholds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Nov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KPIs (001–010) confirmed measurable with available tools</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27 Nov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Nov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ISMS-PEV-001  |  Monitoring &amp; Measurement Plan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2026-09-03T10:33:39.072Z</dcterms:created>
  <dcterms:modified xsi:type="dcterms:W3CDTF">2026-09-03T10:33:39.085Z</dcterms:modified>
</cp:coreProperties>
</file>

<file path=docProps/custom.xml><?xml version="1.0" encoding="utf-8"?>
<Properties xmlns="http://schemas.openxmlformats.org/officeDocument/2006/custom-properties" xmlns:vt="http://schemas.openxmlformats.org/officeDocument/2006/docPropsVTypes"/>
</file>