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MANAGEMENT REVIEW — INPUT / OUTPUT RECORD</w:t>
      </w:r>
    </w:p>
    <w:p>
      <w:pPr>
        <w:spacing w:after="80"/>
        <w:jc w:val="center"/>
      </w:pPr>
      <w:r>
        <w:rPr>
          <w:rFonts w:ascii="Aptos" w:cs="Aptos" w:eastAsia="Aptos" w:hAnsi="Aptos"/>
          <w:b w:val="false"/>
          <w:bCs w:val="false"/>
          <w:i w:val="false"/>
          <w:iCs w:val="false"/>
          <w:color w:val="000000"/>
          <w:sz w:val="28"/>
          <w:szCs w:val="28"/>
        </w:rPr>
        <w:t xml:space="preserve">Annual Management Review  |  22 December 2026</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Review — Input / Output Record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ISMS-PEV-009</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9.3 — Management Review (structured input and output record)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6 — Performance Evaluation (Clause 9), Item 9 of 9 — Final Phase 6 Deliverable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December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 Final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Clause 9.3 structured evidence record</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ISMS Manager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 CEO (Chair of Management Review)</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Issued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January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Retention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Permanent — per ISMS-SUP-010 (certification body evidence; never deleted)</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Companion Documents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ISMS-PEV-007 Management Review Agenda | ISMS-PEV-008 Management Review Minutes</w:t>
            </w:r>
          </w:p>
        </w:tc>
      </w:tr>
    </w:tbl>
    <w:p>
      <w:pPr>
        <w:spacing w:after="200" w:before="140"/>
        <w:jc w:val="left"/>
      </w:pPr>
      <w:r>
        <w:rPr>
          <w:rFonts w:ascii="Aptos" w:cs="Aptos" w:eastAsia="Aptos" w:hAnsi="Aptos"/>
          <w:b w:val="false"/>
          <w:bCs w:val="false"/>
          <w:i/>
          <w:iCs/>
          <w:color w:val="000000"/>
          <w:sz w:val="24"/>
          <w:szCs w:val="24"/>
        </w:rPr>
        <w:t xml:space="preserve">This document is the structured input and output record for the annual management review held on 22 December 2026. It maps every Clause 9.3.2 mandatory input to the evidence reviewed at the meeting, and records every Clause 9.3.3 mandatory output decision. It is the companion to ISMS-PEV-008 (Management Review Minutes) — the minutes contain the narrative discussion; this record contains the structured compliance evidence.</w:t>
      </w:r>
    </w:p>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Part 1 — Clause 9.3.2 Mandatory Inputs</w:t>
      </w:r>
    </w:p>
    <w:p>
      <w:pPr>
        <w:spacing w:after="140" w:before="0"/>
        <w:jc w:val="left"/>
      </w:pPr>
      <w:r>
        <w:rPr>
          <w:rFonts w:ascii="Aptos" w:cs="Aptos" w:eastAsia="Aptos" w:hAnsi="Aptos"/>
          <w:b w:val="false"/>
          <w:bCs w:val="false"/>
          <w:i w:val="false"/>
          <w:iCs w:val="false"/>
          <w:color w:val="000000"/>
          <w:sz w:val="24"/>
          <w:szCs w:val="24"/>
        </w:rPr>
        <w:t xml:space="preserve">ISO/IEC 27001:2022 Clause 9.3.2 specifies the mandatory inputs to the management review. Each input is mapped below to the specific evidence reviewed at the 22 December 2026 meeting. All 11 mandatory input categories are addressed.</w:t>
      </w:r>
    </w:p>
    <w:p>
      <w:pPr>
        <w:pStyle w:val="Heading2"/>
        <w:spacing w:after="100" w:before="200"/>
      </w:pPr>
      <w:r>
        <w:rPr>
          <w:rFonts w:ascii="Aptos" w:cs="Aptos" w:eastAsia="Aptos" w:hAnsi="Aptos"/>
          <w:b/>
          <w:bCs/>
          <w:i w:val="false"/>
          <w:iCs w:val="false"/>
          <w:color w:val="000000"/>
          <w:sz w:val="32"/>
          <w:szCs w:val="32"/>
        </w:rPr>
        <w:t xml:space="preserve">Input A — Status of actions from previous management reviews (Clause 9.3.2(a))</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Input evidence</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Previous review minutes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Q3 2026 Steering Committee minutes reviewed at A-02. Meeting confirmed these as accurate.</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Outstanding actions status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Q3 2026 Steering Committee actions confirmed complete or on track. Head of Procurement appointment (Month 6 target) remains open — transferred to this review as A-05. No other overdue actions.</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 status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 all prior actions reviewed.</w:t>
            </w:r>
          </w:p>
        </w:tc>
      </w:tr>
    </w:tbl>
    <w:p>
      <w:pPr>
        <w:pStyle w:val="Heading2"/>
        <w:spacing w:after="100" w:before="200"/>
      </w:pPr>
      <w:r>
        <w:rPr>
          <w:rFonts w:ascii="Aptos" w:cs="Aptos" w:eastAsia="Aptos" w:hAnsi="Aptos"/>
          <w:b/>
          <w:bCs/>
          <w:i w:val="false"/>
          <w:iCs w:val="false"/>
          <w:color w:val="000000"/>
          <w:sz w:val="32"/>
          <w:szCs w:val="32"/>
        </w:rPr>
        <w:t xml:space="preserve">Input B — Changes in external and internal issues relevant to the ISMS (Clause 9.3.2(b))</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Input evidence</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Register (ISMS-INI-010)</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at A-08 by Head of Legal. DPDP Act implementation rules not yet finalised by MeitY. UAE PDPL — no material changes. CERT-In Rules 2022 — no amendments. MoHFW EHR Standards — no material changes.</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environment changes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operational experience identified R-021 (SentinelWatch BCDR) as a new risk. Reviewed at A-05. Treated as MEDIUM.</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Organisational changes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Procurement vacancy (11 months). No other material organisational changes affecting ISMS scope or controls.</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 status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 external and internal issues reviewed; no changes requiring immediate ISMS document updates.</w:t>
            </w:r>
          </w:p>
        </w:tc>
      </w:tr>
    </w:tbl>
    <w:p>
      <w:pPr>
        <w:pStyle w:val="Heading2"/>
        <w:spacing w:after="100" w:before="200"/>
      </w:pPr>
      <w:r>
        <w:rPr>
          <w:rFonts w:ascii="Aptos" w:cs="Aptos" w:eastAsia="Aptos" w:hAnsi="Aptos"/>
          <w:b/>
          <w:bCs/>
          <w:i w:val="false"/>
          <w:iCs w:val="false"/>
          <w:color w:val="000000"/>
          <w:sz w:val="32"/>
          <w:szCs w:val="32"/>
        </w:rPr>
        <w:t xml:space="preserve">Input C — Feedback on information security performance (Clause 9.3.2(c))</w:t>
      </w:r>
    </w:p>
    <w:p>
      <w:pPr>
        <w:spacing w:after="140" w:before="0"/>
        <w:jc w:val="left"/>
      </w:pPr>
      <w:r>
        <w:rPr>
          <w:rFonts w:ascii="Aptos" w:cs="Aptos" w:eastAsia="Aptos" w:hAnsi="Aptos"/>
          <w:b w:val="false"/>
          <w:bCs w:val="false"/>
          <w:i w:val="false"/>
          <w:iCs w:val="false"/>
          <w:color w:val="000000"/>
          <w:sz w:val="24"/>
          <w:szCs w:val="24"/>
        </w:rPr>
        <w:t xml:space="preserve">This input covers multiple performance dimensions reviewed across several agenda items: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Performance dimension</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Evidence reviewed and status</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security objectives (ISMS-LDR-002)</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at A-03. O-01 (certification April 2027): ON TRACK. O-04 (95% awareness): PARTIALLY MET — 94% achieved, Procurement 0% (vacancy). OO-08 (5-day questionnaire response): NOT YET MET — current 7–10 days; achievable post-certification.</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 performance (ISMS-PEV-001/002)</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at A-03. KPI-001 (MFA bypass): 0% — TARGET MET. KPI-007 (CrowdStrike coverage): 99% — TARGET MET. KPI-009 (backup verification): 100% — TARGET MET. KPI-015 (awareness): 94% — BELOW TARGET (gap = Procurement vacancy).</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incidents (ISMS-OPS-006)</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at A-06. 3 entries: INC-001 and INC-002 (retrospective near-misses, closed), INC-003 (tabletop, closed). No live incidents declared in Phase 5 operation.</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(ISMS-PEV-009 — pending)</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established August 2026. Second simulation February 2027. Results to Steering Committee by March 2027 (Action A-02).</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 status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 all performance dimensions reviewed.</w:t>
            </w:r>
          </w:p>
        </w:tc>
      </w:tr>
    </w:tbl>
    <w:p>
      <w:pPr>
        <w:pStyle w:val="Heading2"/>
        <w:spacing w:after="100" w:before="200"/>
      </w:pPr>
      <w:r>
        <w:rPr>
          <w:rFonts w:ascii="Aptos" w:cs="Aptos" w:eastAsia="Aptos" w:hAnsi="Aptos"/>
          <w:b/>
          <w:bCs/>
          <w:i w:val="false"/>
          <w:iCs w:val="false"/>
          <w:color w:val="000000"/>
          <w:sz w:val="32"/>
          <w:szCs w:val="32"/>
        </w:rPr>
        <w:t xml:space="preserve">Input D — Feedback on risk assessment results and risk treatment status (Clause 9.3.2(d))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Input evidence</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(ISMS-PLN-004 — Phase 5 baseline)</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at A-05. 21 risks. 3 closed (R-006, R-007, R-015). 3 above appetite (R-002, R-004, R-009). R-021 new. 0 HIGH residual risks.</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Plan (ISMS-PLN-005)</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at A-05. Treatment actions for closed risks confirmed Complete. Active treatment actions for R-002, R-004, R-009, R-021 reviewed and trajectories accepted.</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Reassessment Report (ISMS-OPS-011)</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risk posture update provided the baseline data for this input.</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 status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 risk posture reviewed; closure decisions made (D-05, D-06).</w:t>
            </w:r>
          </w:p>
        </w:tc>
      </w:tr>
    </w:tbl>
    <w:p>
      <w:pPr>
        <w:pStyle w:val="Heading2"/>
        <w:spacing w:after="100" w:before="200"/>
      </w:pPr>
      <w:r>
        <w:rPr>
          <w:rFonts w:ascii="Aptos" w:cs="Aptos" w:eastAsia="Aptos" w:hAnsi="Aptos"/>
          <w:b/>
          <w:bCs/>
          <w:i w:val="false"/>
          <w:iCs w:val="false"/>
          <w:color w:val="000000"/>
          <w:sz w:val="32"/>
          <w:szCs w:val="32"/>
        </w:rPr>
        <w:t xml:space="preserve">Input E — Results of monitoring and measurement (Clause 9.3.2(e))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Input evidence</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 Log (ISMS-PEV-002)</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 year summary reviewed at A-03. 28 KPIs measured per ISMS-PEV-001 schedule. Monthly reporting confirmed operational.</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Vulnerability scan results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KPI-005 (scan coverage 97.3%) and KPI-006 (Critical SLA 100%) reviewed. Nessus scan operational.</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review log (ISMS-OPS-009)</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Q3 2026 review completed — 847 hospital-facing admin accounts reviewed, 2 stale disabled. Q4 2026 review scheduled January 2027.</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 status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 monitoring and measurement results reviewed.</w:t>
            </w:r>
          </w:p>
        </w:tc>
      </w:tr>
    </w:tbl>
    <w:p>
      <w:pPr>
        <w:pStyle w:val="Heading2"/>
        <w:spacing w:after="100" w:before="200"/>
      </w:pPr>
      <w:r>
        <w:rPr>
          <w:rFonts w:ascii="Aptos" w:cs="Aptos" w:eastAsia="Aptos" w:hAnsi="Aptos"/>
          <w:b/>
          <w:bCs/>
          <w:i w:val="false"/>
          <w:iCs w:val="false"/>
          <w:color w:val="000000"/>
          <w:sz w:val="32"/>
          <w:szCs w:val="32"/>
        </w:rPr>
        <w:t xml:space="preserve">Input F — Results of audits (Clause 9.3.2(f))</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Input evidence</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Report (ISMS-PEV-005)</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1 (December 2026) presented at A-04. 0 major NCRs. 3 minor NCRs (NCR-001, NCR-002, NCR-003). 3 observations. 2 positive findings. Overall conclusion: ISMS substantially conforms to ISO 27001:2022; ready to proceed to Stage 1.</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Findings Register (ISMS-PEV-006)</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findings reviewed. Corrective action plans for NCR-001, NCR-002, NCR-003 approved at A-04 (Decision D-03).</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 status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 audit results reviewed; corrective action plans approved (D-03).</w:t>
            </w:r>
          </w:p>
        </w:tc>
      </w:tr>
    </w:tbl>
    <w:p>
      <w:pPr>
        <w:pStyle w:val="Heading2"/>
        <w:spacing w:after="100" w:before="200"/>
      </w:pPr>
      <w:r>
        <w:rPr>
          <w:rFonts w:ascii="Aptos" w:cs="Aptos" w:eastAsia="Aptos" w:hAnsi="Aptos"/>
          <w:b/>
          <w:bCs/>
          <w:i w:val="false"/>
          <w:iCs w:val="false"/>
          <w:color w:val="000000"/>
          <w:sz w:val="32"/>
          <w:szCs w:val="32"/>
        </w:rPr>
        <w:t xml:space="preserve">Input G — Fulfillment of information security objectives (Clause 9.3.2(g))</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Input evidence</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Objectives (ISMS-LDR-002)</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at A-03 and A-08. 21 objectives assessed. O-01 (certification): on track. O-04 (awareness ≥95%): partially met. OO-08 (questionnaire response): not yet at target.</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compliance</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confirmed DPA coverage complete (all 22 enterprise customers). No regulatory breaches in Phase 5.</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 status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 objectives fulfillment reviewed.</w:t>
            </w:r>
          </w:p>
        </w:tc>
      </w:tr>
    </w:tbl>
    <w:p>
      <w:pPr>
        <w:pStyle w:val="Heading2"/>
        <w:spacing w:after="100" w:before="200"/>
      </w:pPr>
      <w:r>
        <w:rPr>
          <w:rFonts w:ascii="Aptos" w:cs="Aptos" w:eastAsia="Aptos" w:hAnsi="Aptos"/>
          <w:b/>
          <w:bCs/>
          <w:i w:val="false"/>
          <w:iCs w:val="false"/>
          <w:color w:val="000000"/>
          <w:sz w:val="32"/>
          <w:szCs w:val="32"/>
        </w:rPr>
        <w:t xml:space="preserve">Input H — Status of nonconformities and corrective actions (Clause 9.3.2(h))</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Input evidence</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NCRs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NCR-001, NCR-002, NCR-003 from Audit 1 (December 2026). All three Open at time of meeting. Corrective action plans presented and approved at A-04 (D-03). Target closure: 31 January 2027.</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Lessons learned (ISMS-OPS-006)</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LL-001 to LL-008 — all confirmed Complete at A-06. No open lessons learned from Phase 5 incidents.</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 status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 NCR status reviewed; corrective action plans approved.</w:t>
            </w:r>
          </w:p>
        </w:tc>
      </w:tr>
    </w:tbl>
    <w:p>
      <w:pPr>
        <w:pStyle w:val="Heading2"/>
        <w:spacing w:after="100" w:before="200"/>
      </w:pPr>
      <w:r>
        <w:rPr>
          <w:rFonts w:ascii="Aptos" w:cs="Aptos" w:eastAsia="Aptos" w:hAnsi="Aptos"/>
          <w:b/>
          <w:bCs/>
          <w:i w:val="false"/>
          <w:iCs w:val="false"/>
          <w:color w:val="000000"/>
          <w:sz w:val="32"/>
          <w:szCs w:val="32"/>
        </w:rPr>
        <w:t xml:space="preserve">Input I — Follow-up actions from previous management reviews (Clause 9.3.2(i))</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Input evidence</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Prior meeting action status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at A-02. This is the first annual management review — prior inputs are from Steering Committee meetings. All Q3 2026 Steering Committee actions confirmed complete or transferred.</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 status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 prior actions reviewed.</w:t>
            </w:r>
          </w:p>
        </w:tc>
      </w:tr>
    </w:tbl>
    <w:p>
      <w:pPr>
        <w:pStyle w:val="Heading2"/>
        <w:spacing w:after="100" w:before="200"/>
      </w:pPr>
      <w:r>
        <w:rPr>
          <w:rFonts w:ascii="Aptos" w:cs="Aptos" w:eastAsia="Aptos" w:hAnsi="Aptos"/>
          <w:b/>
          <w:bCs/>
          <w:i w:val="false"/>
          <w:iCs w:val="false"/>
          <w:color w:val="000000"/>
          <w:sz w:val="32"/>
          <w:szCs w:val="32"/>
        </w:rPr>
        <w:t xml:space="preserve">Input J — Changes that could affect the ISMS (Clause 9.3.2(j))</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Input evidence</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changes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confirmed no CERT-In, DPDP Act, UAE PDPL, or MoHFW regulatory changes requiring immediate ISMS updates.</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Organisational changes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Procurement vacancy noted. No changes to ISMS scope, products, or cloud architecture in Phase 5. Cert-manager automation added (post-DR test corrective action — CHG-010).</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Threat environment</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 noted phishing simulation baseline established. Supply chain threat — GHAS surfaced 3 High CVEs in dependencies. No material threat environment changes.</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 status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 changes reviewed; Decision D-09 confirmed no immediate ISMS document updates required.</w:t>
            </w:r>
          </w:p>
        </w:tc>
      </w:tr>
    </w:tbl>
    <w:p>
      <w:pPr>
        <w:pStyle w:val="Heading2"/>
        <w:spacing w:after="100" w:before="200"/>
      </w:pPr>
      <w:r>
        <w:rPr>
          <w:rFonts w:ascii="Aptos" w:cs="Aptos" w:eastAsia="Aptos" w:hAnsi="Aptos"/>
          <w:b/>
          <w:bCs/>
          <w:i w:val="false"/>
          <w:iCs w:val="false"/>
          <w:color w:val="000000"/>
          <w:sz w:val="32"/>
          <w:szCs w:val="32"/>
        </w:rPr>
        <w:t xml:space="preserve">Input K — Opportunities for continual improvement (Clause 9.3.2(k))</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Input evidence</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Continual Improvement Log (ISMS-IMP-004)</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at A-10. Three improvement opportunities presented: cross-region failover, questionnaire response library, Year 2 awareness refresh.</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observations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OBS-001 (Procurement vacancy), OBS-002 (Procurement awareness), OBS-003 (MedLink Gulf report) — all reviewed and actioned.</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 status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 improvement opportunities reviewed and actioned (D-11).</w:t>
            </w:r>
          </w:p>
        </w:tc>
      </w:tr>
    </w:tbl>
    <w:p>
      <w:pPr>
        <w:pStyle w:val="Heading1"/>
        <w:spacing w:after="120" w:before="300"/>
      </w:pPr>
      <w:r>
        <w:rPr>
          <w:rFonts w:ascii="Aptos" w:cs="Aptos" w:eastAsia="Aptos" w:hAnsi="Aptos"/>
          <w:b/>
          <w:bCs/>
          <w:i w:val="false"/>
          <w:iCs w:val="false"/>
          <w:color w:val="000000"/>
          <w:sz w:val="36"/>
          <w:szCs w:val="36"/>
        </w:rPr>
        <w:t xml:space="preserve">Part 2 — Clause 9.3.3 Mandatory Outputs</w:t>
      </w:r>
    </w:p>
    <w:p>
      <w:pPr>
        <w:spacing w:after="140" w:before="0"/>
        <w:jc w:val="left"/>
      </w:pPr>
      <w:r>
        <w:rPr>
          <w:rFonts w:ascii="Aptos" w:cs="Aptos" w:eastAsia="Aptos" w:hAnsi="Aptos"/>
          <w:b w:val="false"/>
          <w:bCs w:val="false"/>
          <w:i w:val="false"/>
          <w:iCs w:val="false"/>
          <w:color w:val="000000"/>
          <w:sz w:val="24"/>
          <w:szCs w:val="24"/>
        </w:rPr>
        <w:t xml:space="preserve">ISO/IEC 27001:2022 Clause 9.3.3 requires that the outputs of the management review include decisions and actions related to: (a) opportunities for improvement; (b) any need for changes to the ISMS; and (c) resource needs. Each output is recorded below, cross-referenced to the decision and action references in ISMS-PEV-008 (Minutes).</w:t>
      </w:r>
    </w:p>
    <w:p>
      <w:pPr>
        <w:pStyle w:val="Heading2"/>
        <w:spacing w:after="100" w:before="200"/>
      </w:pPr>
      <w:r>
        <w:rPr>
          <w:rFonts w:ascii="Aptos" w:cs="Aptos" w:eastAsia="Aptos" w:hAnsi="Aptos"/>
          <w:b/>
          <w:bCs/>
          <w:i w:val="false"/>
          <w:iCs w:val="false"/>
          <w:color w:val="000000"/>
          <w:sz w:val="32"/>
          <w:szCs w:val="32"/>
        </w:rPr>
        <w:t xml:space="preserve">Output 1 — Decisions and actions: opportunities for improvement (Clause 9.3.3(a))</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400"/>
        <w:gridCol w:w="52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Output</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 / Action Reference</w:t>
            </w:r>
          </w:p>
        </w:tc>
        <w:tc>
          <w:tcPr>
            <w:tcW w:type="dxa" w:w="5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programme improvement</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D-02 — accepted with action</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Year 2 awareness programme refresh to begin June 2027, incorporating incident history and phishing simulation results.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Questionnaire response time</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D-02, A-07</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Pre-approved response library to be built by April 2027 to bring OO-08 target within reach post-certification.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Cross-region failover</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D-11</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Architecture assessment to be conducted Q2 2027. Cost estimate to Steering Committee for approval.</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MedLink Gulf report closure</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D-04, A-01</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Formal assessment report to be issued by 10 January 2027. ISMS-OPS-004 updated simultaneously.</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Tier 2 vendor assessments</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D-08, A-03</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PulseMail, PayBridge, TrustID assessments to be completed by 31 January 2027.</w:t>
            </w:r>
          </w:p>
        </w:tc>
      </w:tr>
    </w:tbl>
    <w:p>
      <w:pPr>
        <w:pStyle w:val="Heading2"/>
        <w:spacing w:after="100" w:before="200"/>
      </w:pPr>
      <w:r>
        <w:rPr>
          <w:rFonts w:ascii="Aptos" w:cs="Aptos" w:eastAsia="Aptos" w:hAnsi="Aptos"/>
          <w:b/>
          <w:bCs/>
          <w:i w:val="false"/>
          <w:iCs w:val="false"/>
          <w:color w:val="000000"/>
          <w:sz w:val="32"/>
          <w:szCs w:val="32"/>
        </w:rPr>
        <w:t xml:space="preserve">Output 2 — Decisions and actions: need for changes to the ISMS (Clause 9.3.3(b))</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400"/>
        <w:gridCol w:w="52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Change required</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 / Action Reference</w:t>
            </w:r>
          </w:p>
        </w:tc>
        <w:tc>
          <w:tcPr>
            <w:tcW w:type="dxa" w:w="5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 3 closures</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D-05</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R-006, R-007, R-015 to be updated to CLOSED status in ISMS-PLN-004. Treatment actions marked Complete in ISMS-PLN-005.</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 R-021 addition</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D-06</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R-021 (SentinelWatch BCDR) formally added to risk register with residual score 6 (MEDIUM) and treatment condition (BCDR test by March 2027).</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SoA — A5.8 evidence</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D-03, A-09</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A5.8 FI entry: architecture review evidence to be created and stored at cited GRC path by 15 January 2027. SoA remains FI after evidence is in place.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Register — AZ-500</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D-03, A-10</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AZ-500 renewal booking to be confirmed by 20 January 2027. Certificate Register updated on booking confirmation.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Management Log — NCR-003</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D-03, A-11</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Retrospective CHG-015 to be added to ISMS-OPS-010. Emergency change process brief to IT Operations.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ISMS-OPS-004 — MedLink Gulf</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D-04, A-01</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Supplier Register to be updated with MedLink Gulf assessment completion by 10 January 2027.</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ISMS-OPS-004 — Tier 2 vendors</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D-08, A-03</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Supplier Register to be updated with Tier 2 assessment results by 31 January 2027.</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Register — UAE DPA renewal</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D-09, A-04</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enterprise customer DPA due February 2027 — renewal initiated.</w:t>
            </w:r>
          </w:p>
        </w:tc>
      </w:tr>
    </w:tbl>
    <w:p>
      <w:pPr>
        <w:pStyle w:val="Heading2"/>
        <w:spacing w:after="100" w:before="200"/>
      </w:pPr>
      <w:r>
        <w:rPr>
          <w:rFonts w:ascii="Aptos" w:cs="Aptos" w:eastAsia="Aptos" w:hAnsi="Aptos"/>
          <w:b/>
          <w:bCs/>
          <w:i w:val="false"/>
          <w:iCs w:val="false"/>
          <w:color w:val="000000"/>
          <w:sz w:val="32"/>
          <w:szCs w:val="32"/>
        </w:rPr>
        <w:t xml:space="preserve">Output 3 — Resource needs (Clause 9.3.3(c))</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400"/>
        <w:gridCol w:w="52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Resource need</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 / Action Reference</w:t>
            </w:r>
          </w:p>
        </w:tc>
        <w:tc>
          <w:tcPr>
            <w:tcW w:type="dxa" w:w="5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Procurement appointment</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D-10, A-05</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COO to appoint Head of Procurement by February 2027. Recruitment process in progress.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8th Security Champion</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D-10, A-05</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nominated by the incoming Head of Procurement. Target: within 4 weeks of appointment.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fees budget</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D-12, A-06</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CFO to confirm budget approval by 15 January 2027.</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Audit lead engagement (Audit 2)</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D-12</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audit lead re-engaged for Audit 2 (February 2027) as agreed at the management review.</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Penetration test (pre-Stage 2)</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D-12</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penetration test to be conducted February 2027. Covered within existing budget.</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Post-certification review</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D-13, A-12</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Post-certification review scheduled April/May 2027. No additional resources required — standard Steering Committee format.</w:t>
            </w:r>
          </w:p>
        </w:tc>
      </w:tr>
    </w:tbl>
    <w:p>
      <w:pPr>
        <w:pStyle w:val="Heading1"/>
        <w:spacing w:after="120" w:before="300"/>
      </w:pPr>
      <w:r>
        <w:rPr>
          <w:rFonts w:ascii="Aptos" w:cs="Aptos" w:eastAsia="Aptos" w:hAnsi="Aptos"/>
          <w:b/>
          <w:bCs/>
          <w:i w:val="false"/>
          <w:iCs w:val="false"/>
          <w:color w:val="000000"/>
          <w:sz w:val="36"/>
          <w:szCs w:val="36"/>
        </w:rPr>
        <w:t xml:space="preserve">Part 3 — ISMS Suitability, Adequacy, and Effectiveness Assessment</w:t>
      </w:r>
    </w:p>
    <w:p>
      <w:pPr>
        <w:spacing w:after="140" w:before="0"/>
        <w:jc w:val="left"/>
      </w:pPr>
      <w:r>
        <w:rPr>
          <w:rFonts w:ascii="Aptos" w:cs="Aptos" w:eastAsia="Aptos" w:hAnsi="Aptos"/>
          <w:b w:val="false"/>
          <w:bCs w:val="false"/>
          <w:i w:val="false"/>
          <w:iCs w:val="false"/>
          <w:color w:val="000000"/>
          <w:sz w:val="24"/>
          <w:szCs w:val="24"/>
        </w:rPr>
        <w:t xml:space="preserve">Clause 9.3 requires that top management review the ISMS to ensure its continuing suitability, adequacy, and effectiveness. The management review on 22 December 2026 addressed all three dimensions. The Steering Committee's collective assessment is recorded here.</w:t>
      </w:r>
    </w:p>
    <w:p>
      <w:pPr>
        <w:pStyle w:val="Heading2"/>
        <w:spacing w:after="100" w:before="200"/>
      </w:pPr>
      <w:r>
        <w:rPr>
          <w:rFonts w:ascii="Aptos" w:cs="Aptos" w:eastAsia="Aptos" w:hAnsi="Aptos"/>
          <w:b/>
          <w:bCs/>
          <w:i w:val="false"/>
          <w:iCs w:val="false"/>
          <w:color w:val="000000"/>
          <w:sz w:val="32"/>
          <w:szCs w:val="32"/>
        </w:rPr>
        <w:t xml:space="preserve">3.1 Suitability</w:t>
      </w:r>
    </w:p>
    <w:p>
      <w:pPr>
        <w:spacing w:after="140" w:before="0"/>
        <w:jc w:val="left"/>
      </w:pPr>
      <w:r>
        <w:rPr>
          <w:rFonts w:ascii="Aptos" w:cs="Aptos" w:eastAsia="Aptos" w:hAnsi="Aptos"/>
          <w:b w:val="false"/>
          <w:bCs w:val="false"/>
          <w:i w:val="false"/>
          <w:iCs w:val="false"/>
          <w:color w:val="000000"/>
          <w:sz w:val="24"/>
          <w:szCs w:val="24"/>
        </w:rPr>
        <w:t xml:space="preserve">The ISMS scope (ISMS-INI-011) continues to accurately reflect MediSync's business — all four locations, all 8 products, both cloud regions, all customer categories. No scope changes were required in Phase 5.</w:t>
      </w:r>
    </w:p>
    <w:p>
      <w:pPr>
        <w:spacing w:after="140" w:before="60"/>
        <w:jc w:val="left"/>
      </w:pPr>
      <w:r>
        <w:rPr>
          <w:rFonts w:ascii="Aptos" w:cs="Aptos" w:eastAsia="Aptos" w:hAnsi="Aptos"/>
          <w:b w:val="false"/>
          <w:bCs w:val="false"/>
          <w:i w:val="false"/>
          <w:iCs w:val="false"/>
          <w:color w:val="000000"/>
          <w:sz w:val="24"/>
          <w:szCs w:val="24"/>
        </w:rPr>
        <w:t xml:space="preserve">The ISMS policy (ISMS-LDR-001) continues to be appropriate for MediSync's purpose and context. It was reviewed and acknowledged by all ~430 staff in Phase 4 and has not required amendment.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4800"/>
        <w:gridCol w:w="5280"/>
      </w:tblGrid>
      <w:tr>
        <w:trPr>
          <w:cantSplit/>
          <w:tblHeader/>
        </w:trPr>
        <w:tc>
          <w:tcPr>
            <w:tcW w:type="dxa" w:w="4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Suitability dimension</w:t>
            </w:r>
          </w:p>
        </w:tc>
        <w:tc>
          <w:tcPr>
            <w:tcW w:type="dxa" w:w="5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Steering Committee assessment</w:t>
            </w:r>
          </w:p>
        </w:tc>
      </w:tr>
      <w:tr>
        <w:trPr>
          <w:cantSplit/>
        </w:trPr>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 remains accurate and appropriate</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confirmed at A-02 and A-08. No scope gaps identified.</w:t>
            </w:r>
          </w:p>
        </w:tc>
      </w:tr>
      <w:tr>
        <w:trPr>
          <w:cantSplit/>
        </w:trPr>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Policy remains appropriate for the organisation's context</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confirmed at A-03. No policy amendments required.</w:t>
            </w:r>
          </w:p>
        </w:tc>
      </w:tr>
      <w:tr>
        <w:trPr>
          <w:cantSplit/>
        </w:trPr>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methodology remains fit for purpose</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21 risks assessed, Phase 5 reassessment conducted. Methodology producing meaningful risk differentiation.</w:t>
            </w:r>
          </w:p>
        </w:tc>
      </w:tr>
      <w:tr>
        <w:trPr>
          <w:cantSplit/>
        </w:trPr>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Overall suitability assessment</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SUITABLE — the ISMS scope and policy framework remain appropriate for MediSync's context.</w:t>
            </w:r>
          </w:p>
        </w:tc>
      </w:tr>
    </w:tbl>
    <w:p>
      <w:pPr>
        <w:pStyle w:val="Heading2"/>
        <w:spacing w:after="100" w:before="200"/>
      </w:pPr>
      <w:r>
        <w:rPr>
          <w:rFonts w:ascii="Aptos" w:cs="Aptos" w:eastAsia="Aptos" w:hAnsi="Aptos"/>
          <w:b/>
          <w:bCs/>
          <w:i w:val="false"/>
          <w:iCs w:val="false"/>
          <w:color w:val="000000"/>
          <w:sz w:val="32"/>
          <w:szCs w:val="32"/>
        </w:rPr>
        <w:t xml:space="preserve">3.2 Adequacy</w:t>
      </w:r>
    </w:p>
    <w:p>
      <w:pPr>
        <w:spacing w:after="140" w:before="0"/>
        <w:jc w:val="left"/>
      </w:pPr>
      <w:r>
        <w:rPr>
          <w:rFonts w:ascii="Aptos" w:cs="Aptos" w:eastAsia="Aptos" w:hAnsi="Aptos"/>
          <w:b w:val="false"/>
          <w:bCs w:val="false"/>
          <w:i w:val="false"/>
          <w:iCs w:val="false"/>
          <w:color w:val="000000"/>
          <w:sz w:val="24"/>
          <w:szCs w:val="24"/>
        </w:rPr>
        <w:t xml:space="preserve">The Steering Committee assessed whether the ISMS has sufficient controls and resources to address the identified risks and meet the regulatory obligations.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4800"/>
        <w:gridCol w:w="5280"/>
      </w:tblGrid>
      <w:tr>
        <w:trPr>
          <w:cantSplit/>
          <w:tblHeader/>
        </w:trPr>
        <w:tc>
          <w:tcPr>
            <w:tcW w:type="dxa" w:w="4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Adequacy dimension</w:t>
            </w:r>
          </w:p>
        </w:tc>
        <w:tc>
          <w:tcPr>
            <w:tcW w:type="dxa" w:w="5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Steering Committee assessment</w:t>
            </w:r>
          </w:p>
        </w:tc>
      </w:tr>
      <w:tr>
        <w:trPr>
          <w:cantSplit/>
        </w:trPr>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Controls adequate to address identified risks</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93 Annex A controls assessed; 88 FI at Phase 5. Three priority gaps closed. Zero HIGH risks remain.</w:t>
            </w:r>
          </w:p>
        </w:tc>
      </w:tr>
      <w:tr>
        <w:trPr>
          <w:cantSplit/>
        </w:trPr>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notification capability in place</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OPS-005 three notification tracks operational and tabletop-tested.</w:t>
            </w:r>
          </w:p>
        </w:tc>
      </w:tr>
      <w:tr>
        <w:trPr>
          <w:cantSplit/>
        </w:trPr>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Monitoring and measurement adequate</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28 KPIs measured; monthly reporting operational; internal audit programme active.</w:t>
            </w:r>
          </w:p>
        </w:tc>
      </w:tr>
      <w:tr>
        <w:trPr>
          <w:cantSplit/>
        </w:trPr>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Resources adequate for the ISMS</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SUBSTANTIALLY YES — Head of Procurement vacancy noted as a gap. Interim arrangement has functioned adequately. Appointment target February 2027.</w:t>
            </w:r>
          </w:p>
        </w:tc>
      </w:tr>
      <w:tr>
        <w:trPr>
          <w:cantSplit/>
        </w:trPr>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Overall adequacy assessment</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ADEQUATE — with the noted resource gap (Procurement vacancy) accepted for the certification period.</w:t>
            </w:r>
          </w:p>
        </w:tc>
      </w:tr>
    </w:tbl>
    <w:p>
      <w:pPr>
        <w:pStyle w:val="Heading2"/>
        <w:spacing w:after="100" w:before="200"/>
      </w:pPr>
      <w:r>
        <w:rPr>
          <w:rFonts w:ascii="Aptos" w:cs="Aptos" w:eastAsia="Aptos" w:hAnsi="Aptos"/>
          <w:b/>
          <w:bCs/>
          <w:i w:val="false"/>
          <w:iCs w:val="false"/>
          <w:color w:val="000000"/>
          <w:sz w:val="32"/>
          <w:szCs w:val="32"/>
        </w:rPr>
        <w:t xml:space="preserve">3.3 Effectiveness</w:t>
      </w:r>
    </w:p>
    <w:p>
      <w:pPr>
        <w:spacing w:after="140" w:before="0"/>
        <w:jc w:val="left"/>
      </w:pPr>
      <w:r>
        <w:rPr>
          <w:rFonts w:ascii="Aptos" w:cs="Aptos" w:eastAsia="Aptos" w:hAnsi="Aptos"/>
          <w:b w:val="false"/>
          <w:bCs w:val="false"/>
          <w:i w:val="false"/>
          <w:iCs w:val="false"/>
          <w:color w:val="000000"/>
          <w:sz w:val="24"/>
          <w:szCs w:val="24"/>
        </w:rPr>
        <w:t xml:space="preserve">The Steering Committee assessed whether the ISMS is producing the outcomes it is designed to produce — whether the controls are actually reducing risk and whether staff are behaving differently as a result of the programme.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4800"/>
        <w:gridCol w:w="5280"/>
      </w:tblGrid>
      <w:tr>
        <w:trPr>
          <w:cantSplit/>
          <w:tblHeader/>
        </w:trPr>
        <w:tc>
          <w:tcPr>
            <w:tcW w:type="dxa" w:w="4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Effectiveness dimension</w:t>
            </w:r>
          </w:p>
        </w:tc>
        <w:tc>
          <w:tcPr>
            <w:tcW w:type="dxa" w:w="5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Steering Committee assessment</w:t>
            </w:r>
          </w:p>
        </w:tc>
      </w:tr>
      <w:tr>
        <w:trPr>
          <w:cantSplit/>
        </w:trPr>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Controls operating in practice, not just documented</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internal audit confirmed controls operating in production (POS-001 and POS-002 positive findings; all 7 priority gap closures verified live). NCR-003 identified one control lapse (change without approval) — being corrected.</w:t>
            </w:r>
          </w:p>
        </w:tc>
      </w:tr>
      <w:tr>
        <w:trPr>
          <w:cantSplit/>
        </w:trPr>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posture improving over time</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3 risks closed; 14 residual scores reduced; mean residual score trending down. Zero HIGH risks at Phase 5.</w:t>
            </w:r>
          </w:p>
        </w:tc>
      </w:tr>
      <w:tr>
        <w:trPr>
          <w:cantSplit/>
        </w:trPr>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programme producing behavioural change</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PARTIALLY — 94% awareness completion achieved. Phishing simulation baseline established. Behavioural change confirmation pending second simulation (February 2027). Finance BEC module: 100% completion.</w:t>
            </w:r>
          </w:p>
        </w:tc>
      </w:tr>
      <w:tr>
        <w:trPr>
          <w:cantSplit/>
        </w:trPr>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response capability operational</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IR procedure tabletop-tested; SOC Manager demonstrated embedded knowledge (POS-002). No live incidents — cannot yet confirm real-world effectiveness.</w:t>
            </w:r>
          </w:p>
        </w:tc>
      </w:tr>
      <w:tr>
        <w:trPr>
          <w:cantSplit/>
        </w:trPr>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Continual improvement evident</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Phase 5 operational experience has driven genuine improvements: cert-manager automation (from DR test finding), emergency change process brief (from NCR-003 root cause), A5.8 evidence creation (from NCR-001). Lessons learned from 2024 near-misses implemented.</w:t>
            </w:r>
          </w:p>
        </w:tc>
      </w:tr>
      <w:tr>
        <w:trPr>
          <w:cantSplit/>
        </w:trPr>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Overall effectiveness assessment</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 the ISMS is producing measurable security improvements. The programme is achieving its stated objectives. Behavioural change confirmation is the key remaining question, to be answered by the February 2027 phishing simulation.</w:t>
            </w:r>
          </w:p>
        </w:tc>
      </w:tr>
    </w:tbl>
    <w:p>
      <w:pPr>
        <w:pStyle w:val="Heading1"/>
        <w:spacing w:after="120" w:before="300"/>
      </w:pPr>
      <w:r>
        <w:rPr>
          <w:rFonts w:ascii="Aptos" w:cs="Aptos" w:eastAsia="Aptos" w:hAnsi="Aptos"/>
          <w:b/>
          <w:bCs/>
          <w:i w:val="false"/>
          <w:iCs w:val="false"/>
          <w:color w:val="000000"/>
          <w:sz w:val="36"/>
          <w:szCs w:val="36"/>
        </w:rPr>
        <w:t xml:space="preserve">Part 4 — Clause 9.3 Compliance Confirmation</w:t>
      </w:r>
    </w:p>
    <w:p>
      <w:pPr>
        <w:spacing w:after="140" w:before="0"/>
        <w:jc w:val="left"/>
      </w:pPr>
      <w:r>
        <w:rPr>
          <w:rFonts w:ascii="Aptos" w:cs="Aptos" w:eastAsia="Aptos" w:hAnsi="Aptos"/>
          <w:b w:val="false"/>
          <w:bCs w:val="false"/>
          <w:i w:val="false"/>
          <w:iCs w:val="false"/>
          <w:color w:val="000000"/>
          <w:sz w:val="24"/>
          <w:szCs w:val="24"/>
        </w:rPr>
        <w:t xml:space="preserve">The following table confirms that all Clause 9.3.2 inputs were addressed and all Clause 9.3.3 outputs were produced at the 22 December 2026 management review.</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900"/>
        <w:gridCol w:w="3780"/>
        <w:gridCol w:w="2000"/>
        <w:gridCol w:w="2000"/>
      </w:tblGrid>
      <w:tr>
        <w:trPr>
          <w:tblHeader/>
        </w:trP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Clause</w:t>
            </w:r>
          </w:p>
        </w:tc>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Type</w:t>
            </w:r>
          </w:p>
        </w:tc>
        <w:tc>
          <w:tcPr>
            <w:tcW w:type="dxa" w:w="37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Requirement</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Addressed?</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 / Action Ref</w:t>
            </w:r>
          </w:p>
        </w:tc>
      </w:tr>
      <w:t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9.3.2(a)</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w:t>
            </w:r>
          </w:p>
        </w:tc>
        <w:tc>
          <w:tcPr>
            <w:tcW w:type="dxa" w:w="37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 of actions from previous management reviews</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A-02</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D-01</w:t>
            </w:r>
          </w:p>
        </w:tc>
      </w:tr>
      <w:t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9.3.2(b)</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w:t>
            </w:r>
          </w:p>
        </w:tc>
        <w:tc>
          <w:tcPr>
            <w:tcW w:type="dxa" w:w="37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Changes in external and internal issues</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A-08</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D-09</w:t>
            </w:r>
          </w:p>
        </w:tc>
      </w:tr>
      <w:t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9.3.2(c)</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w:t>
            </w:r>
          </w:p>
        </w:tc>
        <w:tc>
          <w:tcPr>
            <w:tcW w:type="dxa" w:w="37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Feedback on IS performance (incidents, monitoring, objectives, supplier)</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A-03, A-06, A-07</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D-02, D-07, D-08</w:t>
            </w:r>
          </w:p>
        </w:tc>
      </w:tr>
      <w:t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9.3.2(d)</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w:t>
            </w:r>
          </w:p>
        </w:tc>
        <w:tc>
          <w:tcPr>
            <w:tcW w:type="dxa" w:w="37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Feedback on risk assessment results and treatment plan</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A-05</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D-05, D-06</w:t>
            </w:r>
          </w:p>
        </w:tc>
      </w:tr>
      <w:t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9.3.2(e)</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w:t>
            </w:r>
          </w:p>
        </w:tc>
        <w:tc>
          <w:tcPr>
            <w:tcW w:type="dxa" w:w="37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Results of monitoring and measurement</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A-03</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D-02</w:t>
            </w:r>
          </w:p>
        </w:tc>
      </w:tr>
      <w:t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9.3.2(f)</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w:t>
            </w:r>
          </w:p>
        </w:tc>
        <w:tc>
          <w:tcPr>
            <w:tcW w:type="dxa" w:w="37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Results of audits</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A-04</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D-03, D-04</w:t>
            </w:r>
          </w:p>
        </w:tc>
      </w:tr>
      <w:t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9.3.2(g)</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w:t>
            </w:r>
          </w:p>
        </w:tc>
        <w:tc>
          <w:tcPr>
            <w:tcW w:type="dxa" w:w="37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Fulfillment of IS objectives</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A-03, A-08</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D-02, D-09</w:t>
            </w:r>
          </w:p>
        </w:tc>
      </w:tr>
      <w:t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9.3.2(h)</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w:t>
            </w:r>
          </w:p>
        </w:tc>
        <w:tc>
          <w:tcPr>
            <w:tcW w:type="dxa" w:w="37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 of nonconformities and corrective actions</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A-04</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D-03</w:t>
            </w:r>
          </w:p>
        </w:tc>
      </w:tr>
      <w:t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9.3.2(i)</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w:t>
            </w:r>
          </w:p>
        </w:tc>
        <w:tc>
          <w:tcPr>
            <w:tcW w:type="dxa" w:w="37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Follow-up from previous management reviews</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A-02</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D-01</w:t>
            </w:r>
          </w:p>
        </w:tc>
      </w:tr>
      <w:t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9.3.2(j)</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w:t>
            </w:r>
          </w:p>
        </w:tc>
        <w:tc>
          <w:tcPr>
            <w:tcW w:type="dxa" w:w="37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Changes that could affect the ISMS</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A-08, A-05</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D-09</w:t>
            </w:r>
          </w:p>
        </w:tc>
      </w:tr>
      <w:t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9.3.2(k)</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Input</w:t>
            </w:r>
          </w:p>
        </w:tc>
        <w:tc>
          <w:tcPr>
            <w:tcW w:type="dxa" w:w="37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Opportunities for continual improvement</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A-10</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D-11</w:t>
            </w:r>
          </w:p>
        </w:tc>
      </w:tr>
      <w:t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9.3.3(a)</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Output</w:t>
            </w:r>
          </w:p>
        </w:tc>
        <w:tc>
          <w:tcPr>
            <w:tcW w:type="dxa" w:w="37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Decisions on opportunities for improvement</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A-07, A-10</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D-11</w:t>
            </w:r>
          </w:p>
        </w:tc>
      </w:tr>
      <w:t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9.3.3(b)</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Output</w:t>
            </w:r>
          </w:p>
        </w:tc>
        <w:tc>
          <w:tcPr>
            <w:tcW w:type="dxa" w:w="37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Need for changes to the ISMS</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risk register, SoA, NCRs</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D-03–D-06</w:t>
            </w:r>
          </w:p>
        </w:tc>
      </w:tr>
      <w:t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9.3.3(c)</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Output</w:t>
            </w:r>
          </w:p>
        </w:tc>
        <w:tc>
          <w:tcPr>
            <w:tcW w:type="dxa" w:w="37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Resource needs</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A-05, A-06, A-08</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D-10, D-12</w:t>
            </w:r>
          </w:p>
        </w:tc>
      </w:tr>
      <w:t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000000"/>
                <w:sz w:val="24"/>
                <w:szCs w:val="24"/>
              </w:rPr>
              <w:t xml:space="preserve">9.3 — Overall</w:t>
            </w:r>
          </w:p>
        </w:tc>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000000"/>
                <w:sz w:val="24"/>
                <w:szCs w:val="24"/>
              </w:rPr>
              <w:t xml:space="preserve">Assessment</w:t>
            </w:r>
          </w:p>
        </w:tc>
        <w:tc>
          <w:tcPr>
            <w:tcW w:type="dxa" w:w="37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000000"/>
                <w:sz w:val="24"/>
                <w:szCs w:val="24"/>
              </w:rPr>
              <w:t xml:space="preserve">ISMS suitability, adequacy, and effectiveness</w:t>
            </w:r>
          </w:p>
        </w:tc>
        <w:tc>
          <w:tcPr>
            <w:tcW w:type="dxa" w:w="200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375623"/>
                <w:sz w:val="24"/>
                <w:szCs w:val="24"/>
              </w:rPr>
              <w:t xml:space="preserve">YES — Part 3 of this document</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left"/>
            </w:pPr>
            <w:r>
              <w:rPr>
                <w:rFonts w:ascii="Aptos" w:cs="Aptos" w:eastAsia="Aptos" w:hAnsi="Aptos"/>
                <w:b/>
                <w:bCs/>
                <w:i w:val="false"/>
                <w:iCs w:val="false"/>
                <w:color w:val="000000"/>
                <w:sz w:val="24"/>
                <w:szCs w:val="24"/>
              </w:rPr>
              <w:t xml:space="preserve">D-12</w:t>
            </w:r>
          </w:p>
        </w:tc>
      </w:tr>
    </w:tbl>
    <w:p>
      <w:pPr>
        <w:pStyle w:val="Heading1"/>
        <w:spacing w:after="120" w:before="300"/>
      </w:pPr>
      <w:r>
        <w:rPr>
          <w:rFonts w:ascii="Aptos" w:cs="Aptos" w:eastAsia="Aptos" w:hAnsi="Aptos"/>
          <w:b/>
          <w:bCs/>
          <w:i w:val="false"/>
          <w:iCs w:val="false"/>
          <w:color w:val="000000"/>
          <w:sz w:val="36"/>
          <w:szCs w:val="36"/>
        </w:rPr>
        <w:t xml:space="preserve">Part 5 — Approval</w:t>
      </w:r>
    </w:p>
    <w:p>
      <w:pPr>
        <w:spacing w:after="140" w:before="0"/>
        <w:jc w:val="left"/>
      </w:pPr>
      <w:r>
        <w:rPr>
          <w:rFonts w:ascii="Aptos" w:cs="Aptos" w:eastAsia="Aptos" w:hAnsi="Aptos"/>
          <w:b w:val="false"/>
          <w:bCs w:val="false"/>
          <w:i w:val="false"/>
          <w:iCs w:val="false"/>
          <w:color w:val="000000"/>
          <w:sz w:val="24"/>
          <w:szCs w:val="24"/>
        </w:rPr>
        <w:t xml:space="preserve">This Input/Output Record confirms that the 22 December 2026 management review fulfilled all requirements of ISO/IEC 27001:2022 Clause 9.3. It is approved by the Chair of the management review and by the ISMS Manager as the evidence record.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400"/>
        <w:gridCol w:w="3000"/>
        <w:gridCol w:w="20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w:t>
            </w:r>
          </w:p>
        </w:tc>
        <w:tc>
          <w:tcPr>
            <w:tcW w:type="dxa" w:w="2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Record prepared</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 Chair of Management Review</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Jan 2027</w:t>
            </w:r>
          </w:p>
        </w:tc>
      </w:tr>
    </w:tbl>
    <w:p>
      <w:pPr>
        <w:spacing w:after="140" w:before="80"/>
        <w:jc w:val="left"/>
      </w:pPr>
      <w:r>
        <w:rPr>
          <w:rFonts w:ascii="Aptos" w:cs="Aptos" w:eastAsia="Aptos" w:hAnsi="Aptos"/>
          <w:b w:val="false"/>
          <w:bCs w:val="false"/>
          <w:i/>
          <w:iCs/>
          <w:color w:val="595959"/>
          <w:sz w:val="24"/>
          <w:szCs w:val="24"/>
        </w:rPr>
        <w:t xml:space="preserve">This document, together with ISMS-PEV-007 (Agenda) and ISMS-PEV-008 (Minutes), constitutes the complete Clause 9.3 management review evidence package for the December 2026 annual review.</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ISMS-PEV-009  |  Management Review Input/Output Record  |  22 December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2026-09-04T12:40:01.823Z</dcterms:created>
  <dcterms:modified xsi:type="dcterms:W3CDTF">2026-09-04T12:40:01.834Z</dcterms:modified>
</cp:coreProperties>
</file>

<file path=docProps/custom.xml><?xml version="1.0" encoding="utf-8"?>
<Properties xmlns="http://schemas.openxmlformats.org/officeDocument/2006/custom-properties" xmlns:vt="http://schemas.openxmlformats.org/officeDocument/2006/docPropsVTypes"/>
</file>