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ROOT CAUSE ANALYSIS REPORTS</w:t>
      </w:r>
    </w:p>
    <w:p>
      <w:pPr>
        <w:spacing w:after="80"/>
        <w:jc w:val="center"/>
      </w:pPr>
      <w:r>
        <w:rPr>
          <w:rFonts w:ascii="Aptos" w:cs="Aptos" w:eastAsia="Aptos" w:hAnsi="Aptos"/>
          <w:b w:val="false"/>
          <w:bCs w:val="false"/>
          <w:i w:val="false"/>
          <w:iCs w:val="false"/>
          <w:color w:val="000000"/>
          <w:sz w:val="28"/>
          <w:szCs w:val="28"/>
        </w:rPr>
        <w:t xml:space="preserve">RCA-001, RCA-002, RCA-003</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ISMS-IMP-003</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 27001:2022 Clause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10.1(b) — Determine and implement corrective actions, including determining the cause of the nonconformity</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7 — Improvement, Item 3</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RCAs in this document</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RCA-001 (NCR-001 — SoA evidence gap) | RCA-002 (NCR-002 — AZ-500 lapse) | RCA-003 (NCR-003 — unapproved change)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Source NCRs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ISMS-PEV-005 Internal Audit Report (Audit 1, December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Methodology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5-Why analysis (primary root cause identification) + Ishikawa cause categorisation (contributing factors)</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January 2027</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Companion Documents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ISMS-IMP-001 Nonconformity Register | ISMS-IMP-002 CAR Forms | ISMS-IMP-004 Continual Improvement Log</w:t>
            </w:r>
          </w:p>
        </w:tc>
      </w:tr>
    </w:tbl>
    <w:p>
      <w:pPr>
        <w:spacing w:after="120" w:before="140"/>
        <w:jc w:val="left"/>
      </w:pPr>
      <w:r>
        <w:rPr>
          <w:rFonts w:ascii="Aptos" w:cs="Aptos" w:eastAsia="Aptos" w:hAnsi="Aptos"/>
          <w:b w:val="false"/>
          <w:bCs w:val="false"/>
          <w:i/>
          <w:iCs/>
          <w:color w:val="000000"/>
          <w:sz w:val="24"/>
          <w:szCs w:val="24"/>
        </w:rPr>
        <w:t xml:space="preserve">This document contains the formal root cause analysis for each of the three minor nonconformities identified at the December 2026 internal audit. Each RCA uses the 5-Why method to identify the deepest practicable root cause and the Ishikawa (fishbone) framework to categorise contributing factors. Section 4 of this document draws programme-level pattern observations from the three RCAs — what the three NCRs collectively reveal about ISMS implementation risks.</w:t>
      </w:r>
    </w:p>
    <w:p>
      <w:r>
        <w:br w:type="page"/>
      </w:r>
    </w:p>
    <w:p>
      <w:pPr>
        <w:spacing w:after="20" w:before="0"/>
        <w:jc w:val="center"/>
      </w:pPr>
      <w:r>
        <w:rPr>
          <w:rFonts w:ascii="Aptos" w:cs="Aptos" w:eastAsia="Aptos" w:hAnsi="Aptos"/>
          <w:b/>
          <w:bCs/>
          <w:i w:val="false"/>
          <w:iCs w:val="false"/>
          <w:color w:val="000000"/>
          <w:sz w:val="28"/>
          <w:szCs w:val="28"/>
        </w:rPr>
        <w:t xml:space="preserve">MEDISYNC TECHNOLOGIES PVT. LTD.</w:t>
      </w:r>
    </w:p>
    <w:p>
      <w:pPr>
        <w:spacing w:after="40"/>
        <w:jc w:val="center"/>
      </w:pPr>
      <w:r>
        <w:rPr>
          <w:rFonts w:ascii="Aptos" w:cs="Aptos" w:eastAsia="Aptos" w:hAnsi="Aptos"/>
          <w:b/>
          <w:bCs/>
          <w:i w:val="false"/>
          <w:iCs w:val="false"/>
          <w:color w:val="000000"/>
          <w:sz w:val="34"/>
          <w:szCs w:val="34"/>
        </w:rPr>
        <w:t xml:space="preserve">ROOT CAUSE ANALYSIS REPORT</w:t>
      </w:r>
    </w:p>
    <w:p>
      <w:pPr>
        <w:spacing w:after="180"/>
        <w:jc w:val="center"/>
      </w:pPr>
      <w:r>
        <w:rPr>
          <w:rFonts w:ascii="Aptos" w:cs="Aptos" w:eastAsia="Aptos" w:hAnsi="Aptos"/>
          <w:b w:val="false"/>
          <w:bCs w:val="false"/>
          <w:i/>
          <w:iCs/>
          <w:color w:val="000000"/>
          <w:sz w:val="26"/>
          <w:szCs w:val="26"/>
        </w:rPr>
        <w:t xml:space="preserve">NCR-001: SoA Evidence Gap — Control A5.8 Not Independently Retrievable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RCA Reference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RCA-001</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 Reference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NCR-001</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CAR Reference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CAR-001</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 27001:2022 Clause / Control</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6.1.3(d) — documented information on risk treatment; Clause 7.5 — availability of documented information; Annex A 5.8 — information security in project management</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Nonconformity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nonconformity — internal audit (Audit 1, December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 of nonconformity detection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 December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RCA conducted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(CISO) in consultation with Meera Iyer (ISMS Manager)</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RCA reviewed by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ISMS Manager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 of RCA</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January 2027</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RCA methodology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5-Why analysis (primary) + Ishikawa (fishbone) cause categorisation</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Root cause identified — corrective action in progress (see CAR-001)</w:t>
            </w:r>
          </w:p>
        </w:tc>
      </w:tr>
    </w:tbl>
    <w:p>
      <w:pPr>
        <w:spacing w:after="100" w:before="0"/>
        <w:jc w:val="left"/>
      </w:pPr>
      <w:r>
        <w:rPr>
          <w:rFonts w:ascii="Aptos" w:cs="Aptos" w:eastAsia="Aptos" w:hAnsi="Aptos"/>
          <w:b w:val="false"/>
          <w:bCs w:val="false"/>
          <w:i w:val="false"/>
          <w:iCs w:val="false"/>
          <w:color w:val="000000"/>
          <w:sz w:val="24"/>
          <w:szCs w:val="24"/>
        </w:rPr>
        <w:t xml:space="preserve"/>
      </w:r>
    </w:p>
    <w:p>
      <w:pPr>
        <w:pStyle w:val="Heading1"/>
        <w:spacing w:after="100" w:before="260"/>
      </w:pPr>
      <w:r>
        <w:rPr>
          <w:rFonts w:ascii="Aptos" w:cs="Aptos" w:eastAsia="Aptos" w:hAnsi="Aptos"/>
          <w:b/>
          <w:bCs/>
          <w:i w:val="false"/>
          <w:iCs w:val="false"/>
          <w:color w:val="000000"/>
          <w:sz w:val="34"/>
          <w:szCs w:val="34"/>
        </w:rPr>
        <w:t xml:space="preserve">1. Nonconformity Statement</w:t>
      </w:r>
    </w:p>
    <w:p>
      <w:pPr>
        <w:spacing w:after="120" w:before="0"/>
        <w:jc w:val="left"/>
      </w:pPr>
      <w:r>
        <w:rPr>
          <w:rFonts w:ascii="Aptos" w:cs="Aptos" w:eastAsia="Aptos" w:hAnsi="Aptos"/>
          <w:b w:val="false"/>
          <w:bCs w:val="false"/>
          <w:i w:val="false"/>
          <w:iCs w:val="false"/>
          <w:color w:val="000000"/>
          <w:sz w:val="24"/>
          <w:szCs w:val="24"/>
        </w:rPr>
        <w:t xml:space="preserve">Control A5.8 (Information security in project management) is marked "Fully Implemented" in the Statement of Applicability (ISMS-PLN-006). The evidence cited in the Control Evidence Log (ISMS-OPS-002) points to "/Phase 5 — Operation/ISMS-OPS-001" as the evidence location. During audit test AT-008, the audit lead attempted to independently retrieve this evidence without assistance from the control owner. The evidence was not found at that path or in any adjacent GRC Repository folder.</w:t>
      </w:r>
    </w:p>
    <w:p>
      <w:pPr>
        <w:spacing w:after="120" w:before="60"/>
        <w:jc w:val="left"/>
      </w:pPr>
      <w:r>
        <w:rPr>
          <w:rFonts w:ascii="Aptos" w:cs="Aptos" w:eastAsia="Aptos" w:hAnsi="Aptos"/>
          <w:b w:val="false"/>
          <w:bCs w:val="false"/>
          <w:i w:val="false"/>
          <w:iCs w:val="false"/>
          <w:color w:val="000000"/>
          <w:sz w:val="24"/>
          <w:szCs w:val="24"/>
        </w:rPr>
        <w:t xml:space="preserve">ISO 27001:2022 Clause 7.5 requires documented information required by the ISMS to be available where and when needed. A control marked FI with non-retrievable evidence does not satisfy this requirement.</w:t>
      </w:r>
    </w:p>
    <w:p>
      <w:pPr>
        <w:pStyle w:val="Heading1"/>
        <w:spacing w:after="100" w:before="260"/>
      </w:pPr>
      <w:r>
        <w:rPr>
          <w:rFonts w:ascii="Aptos" w:cs="Aptos" w:eastAsia="Aptos" w:hAnsi="Aptos"/>
          <w:b/>
          <w:bCs/>
          <w:i w:val="false"/>
          <w:iCs w:val="false"/>
          <w:color w:val="000000"/>
          <w:sz w:val="34"/>
          <w:szCs w:val="34"/>
        </w:rPr>
        <w:t xml:space="preserve">2. 5-Why Analysis</w:t>
      </w:r>
    </w:p>
    <w:p>
      <w:pPr>
        <w:spacing w:after="120" w:before="0"/>
        <w:jc w:val="left"/>
      </w:pPr>
      <w:r>
        <w:rPr>
          <w:rFonts w:ascii="Aptos" w:cs="Aptos" w:eastAsia="Aptos" w:hAnsi="Aptos"/>
          <w:b w:val="false"/>
          <w:bCs w:val="false"/>
          <w:i w:val="false"/>
          <w:iCs w:val="false"/>
          <w:color w:val="000000"/>
          <w:sz w:val="24"/>
          <w:szCs w:val="24"/>
        </w:rPr>
        <w:t xml:space="preserve">The 5-Why method was applied starting from the observable nonconformity and asking "why" repeatedly until the deepest practicable root cause was reached. Three levels of why were sufficient to reach the root cause; further levels did not yield additional actionable insight.</w:t>
      </w:r>
    </w:p>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4200"/>
        <w:gridCol w:w="4680"/>
      </w:tblGrid>
      <w:tr>
        <w:trPr>
          <w:cantSplit/>
          <w:tblHeader/>
        </w:trPr>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Level</w:t>
            </w:r>
          </w:p>
        </w:tc>
        <w:tc>
          <w:tcPr>
            <w:tcW w:type="dxa" w:w="4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Question asked</w:t>
            </w:r>
          </w:p>
        </w:tc>
        <w:tc>
          <w:tcPr>
            <w:tcW w:type="dxa" w:w="4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Answer / finding</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1</w:t>
            </w:r>
          </w:p>
        </w:tc>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could the audit lead not retrieve the A5.8 evidence?</w:t>
            </w:r>
          </w:p>
        </w:tc>
        <w:tc>
          <w:tcPr>
            <w:tcW w:type="dxa" w:w="4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GRC Repository path cited in ISMS-OPS-002 for A5.8 did not contain the described evidence. The path pointed to the general OPS-001 procedures folder, not to a specific document.</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2</w:t>
            </w:r>
          </w:p>
        </w:tc>
        <w:tc>
          <w:tcPr>
            <w:tcW w:type="dxa" w:w="4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was the OPS-002 entry for A5.8 pointing to a generic path rather than a specific document?</w:t>
            </w:r>
          </w:p>
        </w:tc>
        <w:tc>
          <w:tcPr>
            <w:tcW w:type="dxa" w:w="4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When OPS-002 was completed during Phase 5, the person completing the A5.8 entry did not have a specific, named ISMS evidence document to reference. The A5.8 control is implemented in practice (architecture reviews happen within sprint planning), but the implementation was never formalised as a discrete evidence artefact with a specific GRC location.</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3</w:t>
            </w:r>
          </w:p>
        </w:tc>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was there no specific evidence artefact for A5.8 at the time OPS-002 was completed?</w:t>
            </w:r>
          </w:p>
        </w:tc>
        <w:tc>
          <w:tcPr>
            <w:tcW w:type="dxa" w:w="4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OPS-002 completion process did not require evidence to exist as a named, separately-retrievable document before an entry could be marked FI. The completion process had no "verify retrieval" checkpoint — the ISMS Manager accepted the entry without independently confirming the cited path led to retrievable evidence.</w:t>
            </w:r>
          </w:p>
        </w:tc>
      </w:tr>
    </w:tbl>
    <w:p>
      <w:pPr>
        <w:spacing w:after="80" w:before="0"/>
        <w:jc w:val="left"/>
      </w:pPr>
      <w:r>
        <w:rPr>
          <w:rFonts w:ascii="Aptos" w:cs="Aptos" w:eastAsia="Aptos" w:hAnsi="Aptos"/>
          <w:b w:val="false"/>
          <w:bCs w:val="false"/>
          <w:i w:val="false"/>
          <w:iCs w:val="false"/>
          <w:color w:val="000000"/>
          <w:sz w:val="24"/>
          <w:szCs w:val="24"/>
        </w:rPr>
        <w:t xml:space="preserve"/>
      </w:r>
    </w:p>
    <w:p>
      <w:pPr>
        <w:spacing w:after="120" w:before="0"/>
        <w:jc w:val="left"/>
      </w:pPr>
      <w:r>
        <w:rPr>
          <w:rFonts w:ascii="Aptos" w:cs="Aptos" w:eastAsia="Aptos" w:hAnsi="Aptos"/>
          <w:b/>
          <w:bCs/>
          <w:i w:val="false"/>
          <w:iCs w:val="false"/>
          <w:color w:val="000000"/>
          <w:sz w:val="24"/>
          <w:szCs w:val="24"/>
        </w:rPr>
        <w:t xml:space="preserve">Root cause: </w:t>
      </w:r>
      <w:r>
        <w:rPr>
          <w:rFonts w:ascii="Aptos" w:cs="Aptos" w:eastAsia="Aptos" w:hAnsi="Aptos"/>
          <w:b w:val="false"/>
          <w:bCs w:val="false"/>
          <w:i w:val="false"/>
          <w:iCs w:val="false"/>
          <w:color w:val="000000"/>
          <w:sz w:val="24"/>
          <w:szCs w:val="24"/>
        </w:rPr>
        <w:t xml:space="preserve">The OPS-002 completion process lacked a retrieval verification step. This allowed a control to be marked FI based on the control owner's knowledge of implementation without confirming that independent, documented evidence was retrievable by someone other than the control owner.</w:t>
      </w:r>
    </w:p>
    <w:p>
      <w:pPr>
        <w:pStyle w:val="Heading1"/>
        <w:spacing w:after="100" w:before="260"/>
      </w:pPr>
      <w:r>
        <w:rPr>
          <w:rFonts w:ascii="Aptos" w:cs="Aptos" w:eastAsia="Aptos" w:hAnsi="Aptos"/>
          <w:b/>
          <w:bCs/>
          <w:i w:val="false"/>
          <w:iCs w:val="false"/>
          <w:color w:val="000000"/>
          <w:sz w:val="34"/>
          <w:szCs w:val="34"/>
        </w:rPr>
        <w:t xml:space="preserve">3. Ishikawa Cause Categorisation</w:t>
      </w:r>
    </w:p>
    <w:p>
      <w:pPr>
        <w:spacing w:after="120" w:before="0"/>
        <w:jc w:val="left"/>
      </w:pPr>
      <w:r>
        <w:rPr>
          <w:rFonts w:ascii="Aptos" w:cs="Aptos" w:eastAsia="Aptos" w:hAnsi="Aptos"/>
          <w:b w:val="false"/>
          <w:bCs w:val="false"/>
          <w:i w:val="false"/>
          <w:iCs w:val="false"/>
          <w:color w:val="000000"/>
          <w:sz w:val="24"/>
          <w:szCs w:val="24"/>
        </w:rPr>
        <w:t xml:space="preserve">The following contributing factors were identified across the standard Ishikawa cause categories: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Cause category</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Contributing factor identified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Process (methods)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OPS-002 completion process had no "verify retrieval" checkpoint. Evidence locations were entered without independent verification of accessibility.</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People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 owner and ISMS Manager each assumed the other had verified evidence retrieval. No explicit division of responsibility for verification.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Systems / tools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GRC Repository has no automated check that a cited path exists and contains a file matching the description. Manual path entry is error-prone.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Documentation</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OPS-002 guidance notes did not specify that evidence must be retrievable as a standalone, named document — not just "exists within a larger document or process."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Measurement</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OPS-002 completion pass was treated as a self-assessment exercise. No independent sampling of FI entries to verify retrieval was conducted before the audit.</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Environment (culture)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Programme pressure in Phase 5 (11 operational deliverables across 3 months) may have created an implicit preference for marking entries as complete rather than pausing to verify each evidence path.</w:t>
            </w:r>
          </w:p>
        </w:tc>
      </w:tr>
    </w:tbl>
    <w:p>
      <w:pPr>
        <w:pStyle w:val="Heading1"/>
        <w:spacing w:after="100" w:before="260"/>
      </w:pPr>
      <w:r>
        <w:rPr>
          <w:rFonts w:ascii="Aptos" w:cs="Aptos" w:eastAsia="Aptos" w:hAnsi="Aptos"/>
          <w:b/>
          <w:bCs/>
          <w:i w:val="false"/>
          <w:iCs w:val="false"/>
          <w:color w:val="000000"/>
          <w:sz w:val="34"/>
          <w:szCs w:val="34"/>
        </w:rPr>
        <w:t xml:space="preserve">4. Root Cause Statement</w:t>
      </w:r>
    </w:p>
    <w:p>
      <w:pPr>
        <w:spacing w:after="120" w:before="0"/>
        <w:jc w:val="left"/>
      </w:pPr>
      <w:r>
        <w:rPr>
          <w:rFonts w:ascii="Aptos" w:cs="Aptos" w:eastAsia="Aptos" w:hAnsi="Aptos"/>
          <w:b w:val="false"/>
          <w:bCs w:val="false"/>
          <w:i w:val="false"/>
          <w:iCs w:val="false"/>
          <w:color w:val="000000"/>
          <w:sz w:val="24"/>
          <w:szCs w:val="24"/>
        </w:rPr>
        <w:t xml:space="preserve">The root cause of NCR-001 is a process gap in the ISMS-OPS-002 completion methodology: the process did not require that cited evidence be independently verifiable before an entry is marked FI. This allowed the SoA to overstate the retrievability of evidence, creating an audit finding that the ISMS "shows" a fully-implemented control that cannot be independently confirmed.</w:t>
      </w:r>
    </w:p>
    <w:p>
      <w:pPr>
        <w:spacing w:after="120" w:before="60"/>
        <w:jc w:val="left"/>
      </w:pPr>
      <w:r>
        <w:rPr>
          <w:rFonts w:ascii="Aptos" w:cs="Aptos" w:eastAsia="Aptos" w:hAnsi="Aptos"/>
          <w:b w:val="false"/>
          <w:bCs w:val="false"/>
          <w:i/>
          <w:iCs/>
          <w:color w:val="000000"/>
          <w:sz w:val="24"/>
          <w:szCs w:val="24"/>
        </w:rPr>
        <w:t xml:space="preserve">The nonconformity is not an implementation failure — A5.8 is implemented in practice. It is an evidence management failure.</w:t>
      </w:r>
    </w:p>
    <w:p>
      <w:pPr>
        <w:pStyle w:val="Heading1"/>
        <w:spacing w:after="100" w:before="260"/>
      </w:pPr>
      <w:r>
        <w:rPr>
          <w:rFonts w:ascii="Aptos" w:cs="Aptos" w:eastAsia="Aptos" w:hAnsi="Aptos"/>
          <w:b/>
          <w:bCs/>
          <w:i w:val="false"/>
          <w:iCs w:val="false"/>
          <w:color w:val="000000"/>
          <w:sz w:val="34"/>
          <w:szCs w:val="34"/>
        </w:rPr>
        <w:t xml:space="preserve">5. Corrective Action Summary</w:t>
      </w:r>
    </w:p>
    <w:p>
      <w:pPr>
        <w:spacing w:after="120" w:before="0"/>
        <w:jc w:val="left"/>
      </w:pPr>
      <w:r>
        <w:rPr>
          <w:rFonts w:ascii="Aptos" w:cs="Aptos" w:eastAsia="Aptos" w:hAnsi="Aptos"/>
          <w:b w:val="false"/>
          <w:bCs w:val="false"/>
          <w:i w:val="false"/>
          <w:iCs w:val="false"/>
          <w:color w:val="000000"/>
          <w:sz w:val="24"/>
          <w:szCs w:val="24"/>
        </w:rPr>
        <w:t xml:space="preserve">Full corrective action detail is in ISMS-IMP-002 (CAR-001). Summary: create a named A5.8 Architecture Review Record at a specific GRC Repository path; update OPS-002; add a retrieval verification step to the OPS-002 completion process. Target: 31 January 2027.</w:t>
      </w:r>
    </w:p>
    <w:p>
      <w:r>
        <w:br w:type="page"/>
      </w:r>
    </w:p>
    <w:p>
      <w:pPr>
        <w:spacing w:after="20" w:before="0"/>
        <w:jc w:val="center"/>
      </w:pPr>
      <w:r>
        <w:rPr>
          <w:rFonts w:ascii="Aptos" w:cs="Aptos" w:eastAsia="Aptos" w:hAnsi="Aptos"/>
          <w:b/>
          <w:bCs/>
          <w:i w:val="false"/>
          <w:iCs w:val="false"/>
          <w:color w:val="000000"/>
          <w:sz w:val="28"/>
          <w:szCs w:val="28"/>
        </w:rPr>
        <w:t xml:space="preserve">MEDISYNC TECHNOLOGIES PVT. LTD.</w:t>
      </w:r>
    </w:p>
    <w:p>
      <w:pPr>
        <w:spacing w:after="40"/>
        <w:jc w:val="center"/>
      </w:pPr>
      <w:r>
        <w:rPr>
          <w:rFonts w:ascii="Aptos" w:cs="Aptos" w:eastAsia="Aptos" w:hAnsi="Aptos"/>
          <w:b/>
          <w:bCs/>
          <w:i w:val="false"/>
          <w:iCs w:val="false"/>
          <w:color w:val="000000"/>
          <w:sz w:val="34"/>
          <w:szCs w:val="34"/>
        </w:rPr>
        <w:t xml:space="preserve">ROOT CAUSE ANALYSIS REPORT</w:t>
      </w:r>
    </w:p>
    <w:p>
      <w:pPr>
        <w:spacing w:after="180"/>
        <w:jc w:val="center"/>
      </w:pPr>
      <w:r>
        <w:rPr>
          <w:rFonts w:ascii="Aptos" w:cs="Aptos" w:eastAsia="Aptos" w:hAnsi="Aptos"/>
          <w:b w:val="false"/>
          <w:bCs w:val="false"/>
          <w:i/>
          <w:iCs/>
          <w:color w:val="000000"/>
          <w:sz w:val="26"/>
          <w:szCs w:val="26"/>
        </w:rPr>
        <w:t xml:space="preserve">NCR-002: Competence Gap — AZ-500 Certification Lapsed 16 Months Without Documented Action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RCA Reference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RCA-002</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 Reference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NCR-002</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CAR Reference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CAR-002</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 27001:2022 Clause / Control</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7.2 — Competence (determine necessary competence, ensure persons are competent, retain documented information as evidence)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Nonconformity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nonconformity — internal audit (Audit 1, December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 of nonconformity detection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 December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RCA conducted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(Head of HR) in consultation with Vikram Sundaram (CISO)</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RCA reviewed by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ISMS Manager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 of RCA</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January 2027</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RCA methodology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5-Why analysis (primary) + Ishikawa (fishbone) cause categorisation</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Root cause identified — corrective action in progress (see CAR-002)</w:t>
            </w:r>
          </w:p>
        </w:tc>
      </w:tr>
    </w:tbl>
    <w:p>
      <w:pPr>
        <w:spacing w:after="100" w:before="0"/>
        <w:jc w:val="left"/>
      </w:pPr>
      <w:r>
        <w:rPr>
          <w:rFonts w:ascii="Aptos" w:cs="Aptos" w:eastAsia="Aptos" w:hAnsi="Aptos"/>
          <w:b w:val="false"/>
          <w:bCs w:val="false"/>
          <w:i w:val="false"/>
          <w:iCs w:val="false"/>
          <w:color w:val="000000"/>
          <w:sz w:val="24"/>
          <w:szCs w:val="24"/>
        </w:rPr>
        <w:t xml:space="preserve"/>
      </w:r>
    </w:p>
    <w:p>
      <w:pPr>
        <w:pStyle w:val="Heading1"/>
        <w:spacing w:after="100" w:before="260"/>
      </w:pPr>
      <w:r>
        <w:rPr>
          <w:rFonts w:ascii="Aptos" w:cs="Aptos" w:eastAsia="Aptos" w:hAnsi="Aptos"/>
          <w:b/>
          <w:bCs/>
          <w:i w:val="false"/>
          <w:iCs w:val="false"/>
          <w:color w:val="000000"/>
          <w:sz w:val="34"/>
          <w:szCs w:val="34"/>
        </w:rPr>
        <w:t xml:space="preserve">1. Nonconformity Statement</w:t>
      </w:r>
    </w:p>
    <w:p>
      <w:pPr>
        <w:spacing w:after="120" w:before="0"/>
        <w:jc w:val="left"/>
      </w:pPr>
      <w:r>
        <w:rPr>
          <w:rFonts w:ascii="Aptos" w:cs="Aptos" w:eastAsia="Aptos" w:hAnsi="Aptos"/>
          <w:b w:val="false"/>
          <w:bCs w:val="false"/>
          <w:i w:val="false"/>
          <w:iCs w:val="false"/>
          <w:color w:val="000000"/>
          <w:sz w:val="24"/>
          <w:szCs w:val="24"/>
        </w:rPr>
        <w:t xml:space="preserve">Sana Al Farsi's Microsoft Azure Security Engineer Associate (AZ-500) certification expired August 2025. At the December 2026 audit, the certificate had been lapsed for 16 months. The Certificate Register (ISMS-SUP-004 Tab 3) recorded the expiry and flagged "Renewal required" but contained no scheduled renewal date, no evidence of a renewal booking, and no documented risk acceptance or compensating control assessment. Sana Al Farsi is the Head of Cloud Infrastructure and the control owner for ISMS-OPS-001 Domains 2 (cloud security configuration) and 6 (key management).</w:t>
      </w:r>
    </w:p>
    <w:p>
      <w:pPr>
        <w:spacing w:after="120" w:before="60"/>
        <w:jc w:val="left"/>
      </w:pPr>
      <w:r>
        <w:rPr>
          <w:rFonts w:ascii="Aptos" w:cs="Aptos" w:eastAsia="Aptos" w:hAnsi="Aptos"/>
          <w:b w:val="false"/>
          <w:bCs w:val="false"/>
          <w:i w:val="false"/>
          <w:iCs w:val="false"/>
          <w:color w:val="000000"/>
          <w:sz w:val="24"/>
          <w:szCs w:val="24"/>
        </w:rPr>
        <w:t xml:space="preserve">ISO 27001:2022 Clause 7.2 requires the organisation to determine necessary competence, ensure persons are competent, take action where competence gaps exist, and retain documented information as evidence. A 16-month lapse with no documented action does not satisfy this requirement.</w:t>
      </w:r>
    </w:p>
    <w:p>
      <w:pPr>
        <w:pStyle w:val="Heading1"/>
        <w:spacing w:after="100" w:before="260"/>
      </w:pPr>
      <w:r>
        <w:rPr>
          <w:rFonts w:ascii="Aptos" w:cs="Aptos" w:eastAsia="Aptos" w:hAnsi="Aptos"/>
          <w:b/>
          <w:bCs/>
          <w:i w:val="false"/>
          <w:iCs w:val="false"/>
          <w:color w:val="000000"/>
          <w:sz w:val="34"/>
          <w:szCs w:val="34"/>
        </w:rPr>
        <w:t xml:space="preserve">2. 5-Why Analysis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4200"/>
        <w:gridCol w:w="4680"/>
      </w:tblGrid>
      <w:tr>
        <w:trPr>
          <w:cantSplit/>
          <w:tblHeader/>
        </w:trPr>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Level</w:t>
            </w:r>
          </w:p>
        </w:tc>
        <w:tc>
          <w:tcPr>
            <w:tcW w:type="dxa" w:w="4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Question asked</w:t>
            </w:r>
          </w:p>
        </w:tc>
        <w:tc>
          <w:tcPr>
            <w:tcW w:type="dxa" w:w="4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Answer / finding</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1</w:t>
            </w:r>
          </w:p>
        </w:tc>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was there no documented renewal action for the AZ-500 certificate after it expired in August 2025?</w:t>
            </w:r>
          </w:p>
        </w:tc>
        <w:tc>
          <w:tcPr>
            <w:tcW w:type="dxa" w:w="4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individual was explicitly assigned ownership of the AZ-500 renewal action. The Certificate Register recorded the expiry, but the register was informational — it did not generate an action or assign a responsible owner.</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2</w:t>
            </w:r>
          </w:p>
        </w:tc>
        <w:tc>
          <w:tcPr>
            <w:tcW w:type="dxa" w:w="4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was no individual assigned ownership of the renewal action?</w:t>
            </w:r>
          </w:p>
        </w:tc>
        <w:tc>
          <w:tcPr>
            <w:tcW w:type="dxa" w:w="4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Certificate Register was designed as an inventory document rather than an action-generating management tool. It was created in Phase 4 without a defined process for translating expiry dates into assigned actions with owners and target dates.</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3</w:t>
            </w:r>
          </w:p>
        </w:tc>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was the Certificate Register designed as an informational inventory rather than an action-generating tool?</w:t>
            </w:r>
          </w:p>
        </w:tc>
        <w:tc>
          <w:tcPr>
            <w:tcW w:type="dxa" w:w="4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person who designed the register (the ISMS Manager, during Phase 4) focused on capturing the inventory of certifications — who has what, when it expires. The process of converting expiry dates into actions was assumed to be handled by HR through normal line management. This assumption was not documented or confirmed with HR.</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4</w:t>
            </w:r>
          </w:p>
        </w:tc>
        <w:tc>
          <w:tcPr>
            <w:tcW w:type="dxa" w:w="4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was the assumption that HR would handle renewal management not documented or confirmed?</w:t>
            </w:r>
          </w:p>
        </w:tc>
        <w:tc>
          <w:tcPr>
            <w:tcW w:type="dxa" w:w="4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formal process existed for ISMS-required certifications (as distinct from general HR training management). The ISMS Manager treated ISMS-required certs as a compliance record concern; HR treated them as the certificate holder's personal responsibility. Neither party had documented ownership.</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5</w:t>
            </w:r>
          </w:p>
        </w:tc>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did neither the ISMS Manager nor HR notice the lapse over 16 months?</w:t>
            </w:r>
          </w:p>
        </w:tc>
        <w:tc>
          <w:tcPr>
            <w:tcW w:type="dxa" w:w="4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Certificate Register was not reviewed at any regular cadence. It was not included in the monthly GRC status report, the quarterly Steering Committee pack, or any regular review cycle. There was no trigger that would surface an expiry as an action item for any review audience.</w:t>
            </w:r>
          </w:p>
        </w:tc>
      </w:tr>
    </w:tbl>
    <w:p>
      <w:pPr>
        <w:spacing w:after="80" w:before="0"/>
        <w:jc w:val="left"/>
      </w:pPr>
      <w:r>
        <w:rPr>
          <w:rFonts w:ascii="Aptos" w:cs="Aptos" w:eastAsia="Aptos" w:hAnsi="Aptos"/>
          <w:b w:val="false"/>
          <w:bCs w:val="false"/>
          <w:i w:val="false"/>
          <w:iCs w:val="false"/>
          <w:color w:val="000000"/>
          <w:sz w:val="24"/>
          <w:szCs w:val="24"/>
        </w:rPr>
        <w:t xml:space="preserve"/>
      </w:r>
    </w:p>
    <w:p>
      <w:pPr>
        <w:spacing w:after="120" w:before="0"/>
        <w:jc w:val="left"/>
      </w:pPr>
      <w:r>
        <w:rPr>
          <w:rFonts w:ascii="Aptos" w:cs="Aptos" w:eastAsia="Aptos" w:hAnsi="Aptos"/>
          <w:b/>
          <w:bCs/>
          <w:i w:val="false"/>
          <w:iCs w:val="false"/>
          <w:color w:val="000000"/>
          <w:sz w:val="24"/>
          <w:szCs w:val="24"/>
        </w:rPr>
        <w:t xml:space="preserve">Root cause: </w:t>
      </w:r>
      <w:r>
        <w:rPr>
          <w:rFonts w:ascii="Aptos" w:cs="Aptos" w:eastAsia="Aptos" w:hAnsi="Aptos"/>
          <w:b w:val="false"/>
          <w:bCs w:val="false"/>
          <w:i w:val="false"/>
          <w:iCs w:val="false"/>
          <w:color w:val="000000"/>
          <w:sz w:val="24"/>
          <w:szCs w:val="24"/>
        </w:rPr>
        <w:t xml:space="preserve">The Certificate Register lacked three governance elements: (1) explicit renewal ownership for each certificate, (2) a trigger mechanism that surfaces expiry as an action item before or after the expiry date, and (3) integration into a regular review cycle visible to the ISMS Manager and CISO.</w:t>
      </w:r>
    </w:p>
    <w:p>
      <w:pPr>
        <w:pStyle w:val="Heading1"/>
        <w:spacing w:after="100" w:before="260"/>
      </w:pPr>
      <w:r>
        <w:rPr>
          <w:rFonts w:ascii="Aptos" w:cs="Aptos" w:eastAsia="Aptos" w:hAnsi="Aptos"/>
          <w:b/>
          <w:bCs/>
          <w:i w:val="false"/>
          <w:iCs w:val="false"/>
          <w:color w:val="000000"/>
          <w:sz w:val="34"/>
          <w:szCs w:val="34"/>
        </w:rPr>
        <w:t xml:space="preserve">3. Ishikawa Cause Categorisation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Cause category</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Contributing factor identified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Process (methods)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defined process for converting certificate expiry dates into assigned renewal actions with owners and target dates.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People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Dual assumption failure: ISMS Manager assumed HR would manage renewals; HR assumed the certificate holder's line manager would. Neither documented or confirmed their assumption.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Systems / tools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calendar reminders, automated alerts, or ISMS platform notifications linked to expiry dates in the Certificate Register. The register was a static spreadsheet.</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Documentation</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Register design did not include a Renewal Owner column, a Renewal Action Due date, or a Renewal Status field. These fields would have made the governance gap immediately visible.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Measurement / monitoring</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status was not included in any regular review — not in the monthly GRC report, not in the quarterly Steering Committee pack, not in the annual management review inputs. A 16-month lapse produced no alert in any governance forum.</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Management oversight</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CISO, as the individual responsible for the competence of the security team, did not have a mechanism to monitor certificate currency. The monthly management information did not surface this risk.</w:t>
            </w:r>
          </w:p>
        </w:tc>
      </w:tr>
    </w:tbl>
    <w:p>
      <w:pPr>
        <w:pStyle w:val="Heading1"/>
        <w:spacing w:after="100" w:before="260"/>
      </w:pPr>
      <w:r>
        <w:rPr>
          <w:rFonts w:ascii="Aptos" w:cs="Aptos" w:eastAsia="Aptos" w:hAnsi="Aptos"/>
          <w:b/>
          <w:bCs/>
          <w:i w:val="false"/>
          <w:iCs w:val="false"/>
          <w:color w:val="000000"/>
          <w:sz w:val="34"/>
          <w:szCs w:val="34"/>
        </w:rPr>
        <w:t xml:space="preserve">4. Root Cause Statement</w:t>
      </w:r>
    </w:p>
    <w:p>
      <w:pPr>
        <w:spacing w:after="120" w:before="0"/>
        <w:jc w:val="left"/>
      </w:pPr>
      <w:r>
        <w:rPr>
          <w:rFonts w:ascii="Aptos" w:cs="Aptos" w:eastAsia="Aptos" w:hAnsi="Aptos"/>
          <w:b w:val="false"/>
          <w:bCs w:val="false"/>
          <w:i w:val="false"/>
          <w:iCs w:val="false"/>
          <w:color w:val="000000"/>
          <w:sz w:val="24"/>
          <w:szCs w:val="24"/>
        </w:rPr>
        <w:t xml:space="preserve">The root cause of NCR-002 is a governance design failure in the competence management process: the Certificate Register was created as an informational inventory without the three governance elements required to make it action-generating — explicit ownership, a trigger mechanism, and integration into a regular review cycle. This design failure allowed a 16-month lapse to go undetected and unaddressed across multiple governance forums.</w:t>
      </w:r>
    </w:p>
    <w:p>
      <w:pPr>
        <w:spacing w:after="120" w:before="60"/>
        <w:jc w:val="left"/>
      </w:pPr>
      <w:r>
        <w:rPr>
          <w:rFonts w:ascii="Aptos" w:cs="Aptos" w:eastAsia="Aptos" w:hAnsi="Aptos"/>
          <w:b w:val="false"/>
          <w:bCs w:val="false"/>
          <w:i/>
          <w:iCs/>
          <w:color w:val="000000"/>
          <w:sz w:val="24"/>
          <w:szCs w:val="24"/>
        </w:rPr>
        <w:t xml:space="preserve">This is a systemic process failure, not an individual failure by Sana Al Farsi or the ISMS Manager.</w:t>
      </w:r>
    </w:p>
    <w:p>
      <w:pPr>
        <w:pStyle w:val="Heading1"/>
        <w:spacing w:after="100" w:before="260"/>
      </w:pPr>
      <w:r>
        <w:rPr>
          <w:rFonts w:ascii="Aptos" w:cs="Aptos" w:eastAsia="Aptos" w:hAnsi="Aptos"/>
          <w:b/>
          <w:bCs/>
          <w:i w:val="false"/>
          <w:iCs w:val="false"/>
          <w:color w:val="000000"/>
          <w:sz w:val="34"/>
          <w:szCs w:val="34"/>
        </w:rPr>
        <w:t xml:space="preserve">5. Corrective Action Summary</w:t>
      </w:r>
    </w:p>
    <w:p>
      <w:pPr>
        <w:spacing w:after="120" w:before="0"/>
        <w:jc w:val="left"/>
      </w:pPr>
      <w:r>
        <w:rPr>
          <w:rFonts w:ascii="Aptos" w:cs="Aptos" w:eastAsia="Aptos" w:hAnsi="Aptos"/>
          <w:b w:val="false"/>
          <w:bCs w:val="false"/>
          <w:i w:val="false"/>
          <w:iCs w:val="false"/>
          <w:color w:val="000000"/>
          <w:sz w:val="24"/>
          <w:szCs w:val="24"/>
        </w:rPr>
        <w:t xml:space="preserve">Full corrective action detail is in ISMS-IMP-002 (CAR-002). Summary: book AZ-500 renewal; restructure SUP-004 Tab 3 with Renewal Owner, Action Due, and Status columns; add 90-day calendar reminders; add certificate status to monthly GRC report. Target: 31 January 2027.</w:t>
      </w:r>
    </w:p>
    <w:p>
      <w:r>
        <w:br w:type="page"/>
      </w:r>
    </w:p>
    <w:p>
      <w:pPr>
        <w:spacing w:after="20" w:before="0"/>
        <w:jc w:val="center"/>
      </w:pPr>
      <w:r>
        <w:rPr>
          <w:rFonts w:ascii="Aptos" w:cs="Aptos" w:eastAsia="Aptos" w:hAnsi="Aptos"/>
          <w:b/>
          <w:bCs/>
          <w:i w:val="false"/>
          <w:iCs w:val="false"/>
          <w:color w:val="000000"/>
          <w:sz w:val="28"/>
          <w:szCs w:val="28"/>
        </w:rPr>
        <w:t xml:space="preserve">MEDISYNC TECHNOLOGIES PVT. LTD.</w:t>
      </w:r>
    </w:p>
    <w:p>
      <w:pPr>
        <w:spacing w:after="40"/>
        <w:jc w:val="center"/>
      </w:pPr>
      <w:r>
        <w:rPr>
          <w:rFonts w:ascii="Aptos" w:cs="Aptos" w:eastAsia="Aptos" w:hAnsi="Aptos"/>
          <w:b/>
          <w:bCs/>
          <w:i w:val="false"/>
          <w:iCs w:val="false"/>
          <w:color w:val="000000"/>
          <w:sz w:val="34"/>
          <w:szCs w:val="34"/>
        </w:rPr>
        <w:t xml:space="preserve">ROOT CAUSE ANALYSIS REPORT</w:t>
      </w:r>
    </w:p>
    <w:p>
      <w:pPr>
        <w:spacing w:after="180"/>
        <w:jc w:val="center"/>
      </w:pPr>
      <w:r>
        <w:rPr>
          <w:rFonts w:ascii="Aptos" w:cs="Aptos" w:eastAsia="Aptos" w:hAnsi="Aptos"/>
          <w:b w:val="false"/>
          <w:bCs w:val="false"/>
          <w:i/>
          <w:iCs/>
          <w:color w:val="000000"/>
          <w:sz w:val="26"/>
          <w:szCs w:val="26"/>
        </w:rPr>
        <w:t xml:space="preserve">NCR-003: Unapproved Production Change — Security Group Modified Without Prior CISO Approval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RCA Reference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RCA-003</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 Reference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NCR-003</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CAR Reference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CAR-003</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 27001:2022 Clause / Control</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Annex A 8.32 — Change management; ISMS-PLN-009 Change Management Procedure; ISMS-OPS-001 D-02.2</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Nonconformity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nonconformity — internal audit (Audit 1, December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 of nonconformity detection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 December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RCA conducted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IT Operations Lead in consultation with Vikram Sundaram (CISO)</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RCA reviewed by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ISMS Manager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 of RCA</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January 2027</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RCA methodology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5-Why analysis (primary) + Ishikawa (fishbone) cause categorisation</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Root cause identified — corrective action in progress (see CAR-003)</w:t>
            </w:r>
          </w:p>
        </w:tc>
      </w:tr>
    </w:tbl>
    <w:p>
      <w:pPr>
        <w:spacing w:after="100" w:before="0"/>
        <w:jc w:val="left"/>
      </w:pPr>
      <w:r>
        <w:rPr>
          <w:rFonts w:ascii="Aptos" w:cs="Aptos" w:eastAsia="Aptos" w:hAnsi="Aptos"/>
          <w:b w:val="false"/>
          <w:bCs w:val="false"/>
          <w:i w:val="false"/>
          <w:iCs w:val="false"/>
          <w:color w:val="000000"/>
          <w:sz w:val="24"/>
          <w:szCs w:val="24"/>
        </w:rPr>
        <w:t xml:space="preserve"/>
      </w:r>
    </w:p>
    <w:p>
      <w:pPr>
        <w:pStyle w:val="Heading1"/>
        <w:spacing w:after="100" w:before="260"/>
      </w:pPr>
      <w:r>
        <w:rPr>
          <w:rFonts w:ascii="Aptos" w:cs="Aptos" w:eastAsia="Aptos" w:hAnsi="Aptos"/>
          <w:b/>
          <w:bCs/>
          <w:i w:val="false"/>
          <w:iCs w:val="false"/>
          <w:color w:val="000000"/>
          <w:sz w:val="34"/>
          <w:szCs w:val="34"/>
        </w:rPr>
        <w:t xml:space="preserve">1. Nonconformity Statement</w:t>
      </w:r>
    </w:p>
    <w:p>
      <w:pPr>
        <w:spacing w:after="120" w:before="0"/>
        <w:jc w:val="left"/>
      </w:pPr>
      <w:r>
        <w:rPr>
          <w:rFonts w:ascii="Aptos" w:cs="Aptos" w:eastAsia="Aptos" w:hAnsi="Aptos"/>
          <w:b w:val="false"/>
          <w:bCs w:val="false"/>
          <w:i w:val="false"/>
          <w:iCs w:val="false"/>
          <w:color w:val="000000"/>
          <w:sz w:val="24"/>
          <w:szCs w:val="24"/>
        </w:rPr>
        <w:t xml:space="preserve">On 14 November 2026 at 14:23 IST, an inbound rule modification was made to the EHR-CORE application security group in AWS ap-south-1. The change appeared in the Sentinel configuration drift alert log but had no corresponding approved change record in ISMS-OPS-010 (Change Management Log). The IT Operations Lead confirmed during audit interview that the change was made during connectivity troubleshooting without following the change management or emergency change procedure. The change was confirmed benign on retrospective review.</w:t>
      </w:r>
    </w:p>
    <w:p>
      <w:pPr>
        <w:spacing w:after="120" w:before="60"/>
        <w:jc w:val="left"/>
      </w:pPr>
      <w:r>
        <w:rPr>
          <w:rFonts w:ascii="Aptos" w:cs="Aptos" w:eastAsia="Aptos" w:hAnsi="Aptos"/>
          <w:b w:val="false"/>
          <w:bCs w:val="false"/>
          <w:i w:val="false"/>
          <w:iCs w:val="false"/>
          <w:color w:val="000000"/>
          <w:sz w:val="24"/>
          <w:szCs w:val="24"/>
        </w:rPr>
        <w:t xml:space="preserve">ISO 27001:2022 Annex A 8.32 and ISMS-OPS-001 D-02.2 require that security-relevant cloud configuration changes be subject to change management procedures, including CISO approval. The benign nature of the change does not remove the procedural nonconformity.</w:t>
      </w:r>
    </w:p>
    <w:p>
      <w:pPr>
        <w:pStyle w:val="Heading1"/>
        <w:spacing w:after="100" w:before="260"/>
      </w:pPr>
      <w:r>
        <w:rPr>
          <w:rFonts w:ascii="Aptos" w:cs="Aptos" w:eastAsia="Aptos" w:hAnsi="Aptos"/>
          <w:b/>
          <w:bCs/>
          <w:i w:val="false"/>
          <w:iCs w:val="false"/>
          <w:color w:val="000000"/>
          <w:sz w:val="34"/>
          <w:szCs w:val="34"/>
        </w:rPr>
        <w:t xml:space="preserve">2. 5-Why Analysis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4200"/>
        <w:gridCol w:w="4680"/>
      </w:tblGrid>
      <w:tr>
        <w:trPr>
          <w:cantSplit/>
          <w:tblHeader/>
        </w:trPr>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Level</w:t>
            </w:r>
          </w:p>
        </w:tc>
        <w:tc>
          <w:tcPr>
            <w:tcW w:type="dxa" w:w="4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Question asked</w:t>
            </w:r>
          </w:p>
        </w:tc>
        <w:tc>
          <w:tcPr>
            <w:tcW w:type="dxa" w:w="4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Answer / finding</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1</w:t>
            </w:r>
          </w:p>
        </w:tc>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did the IT Operations Lead modify the production security group without obtaining prior approval?</w:t>
            </w:r>
          </w:p>
        </w:tc>
        <w:tc>
          <w:tcPr>
            <w:tcW w:type="dxa" w:w="4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IT Operations Lead believed that urgent connectivity troubleshooting required immediate action and that obtaining prior approval was not compatible with the urgency of the situation.</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2</w:t>
            </w:r>
          </w:p>
        </w:tc>
        <w:tc>
          <w:tcPr>
            <w:tcW w:type="dxa" w:w="4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did the IT Operations Lead not use the emergency change process, which provides for urgent action with verbal CISO approval?</w:t>
            </w:r>
          </w:p>
        </w:tc>
        <w:tc>
          <w:tcPr>
            <w:tcW w:type="dxa" w:w="4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IT Operations Lead was not aware that an emergency change process exists. They were aware of the standard change management process (which requires advance written approval), but did not know that ISMS-OPS-010 Tab 2 provides an emergency track specifically for urgent situations — requiring only verbal CISO approval before action.</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3</w:t>
            </w:r>
          </w:p>
        </w:tc>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was the IT Operations Lead not aware of the emergency change process?</w:t>
            </w:r>
          </w:p>
        </w:tc>
        <w:tc>
          <w:tcPr>
            <w:tcW w:type="dxa" w:w="4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change management briefing at Phase 5 launch covered standard and normal changes but did not include a specific, scenario-based walkthrough of the emergency change track. The emergency process was documented in OPS-010 Tab 2 but was not presented as the correct response to the exact situation the IT Operations Lead encountered.</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4</w:t>
            </w:r>
          </w:p>
        </w:tc>
        <w:tc>
          <w:tcPr>
            <w:tcW w:type="dxa" w:w="4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was the emergency change process not covered in the Phase 5 briefing?</w:t>
            </w:r>
          </w:p>
        </w:tc>
        <w:tc>
          <w:tcPr>
            <w:tcW w:type="dxa" w:w="4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briefing was designed around the most common scenarios (standard and normal changes) rather than edge cases. The emergency track is infrequently used and was not identified as a scenario that would resonate with the IT Operations team at the time of briefing.</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5</w:t>
            </w:r>
          </w:p>
        </w:tc>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Why was there no cross-reference to the emergency change process at the point where a cloud engineer would encounter an urgent configuration need?</w:t>
            </w:r>
          </w:p>
        </w:tc>
        <w:tc>
          <w:tcPr>
            <w:tcW w:type="dxa" w:w="4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ISMS-OPS-001 D-02.2 (cloud configuration security requirements) listed the requirement for CISO approval but did not point to the emergency change process as the mechanism for urgent situations. An engineer reading D-02.2 faced with urgency would conclude that they cannot make the change without a full approval process — not that an emergency track exists.</w:t>
            </w:r>
          </w:p>
        </w:tc>
      </w:tr>
    </w:tbl>
    <w:p>
      <w:pPr>
        <w:spacing w:after="80" w:before="0"/>
        <w:jc w:val="left"/>
      </w:pPr>
      <w:r>
        <w:rPr>
          <w:rFonts w:ascii="Aptos" w:cs="Aptos" w:eastAsia="Aptos" w:hAnsi="Aptos"/>
          <w:b w:val="false"/>
          <w:bCs w:val="false"/>
          <w:i w:val="false"/>
          <w:iCs w:val="false"/>
          <w:color w:val="000000"/>
          <w:sz w:val="24"/>
          <w:szCs w:val="24"/>
        </w:rPr>
        <w:t xml:space="preserve"/>
      </w:r>
    </w:p>
    <w:p>
      <w:pPr>
        <w:spacing w:after="120" w:before="0"/>
        <w:jc w:val="left"/>
      </w:pPr>
      <w:r>
        <w:rPr>
          <w:rFonts w:ascii="Aptos" w:cs="Aptos" w:eastAsia="Aptos" w:hAnsi="Aptos"/>
          <w:b/>
          <w:bCs/>
          <w:i w:val="false"/>
          <w:iCs w:val="false"/>
          <w:color w:val="000000"/>
          <w:sz w:val="24"/>
          <w:szCs w:val="24"/>
        </w:rPr>
        <w:t xml:space="preserve">Root cause: </w:t>
      </w:r>
      <w:r>
        <w:rPr>
          <w:rFonts w:ascii="Aptos" w:cs="Aptos" w:eastAsia="Aptos" w:hAnsi="Aptos"/>
          <w:b w:val="false"/>
          <w:bCs w:val="false"/>
          <w:i w:val="false"/>
          <w:iCs w:val="false"/>
          <w:color w:val="000000"/>
          <w:sz w:val="24"/>
          <w:szCs w:val="24"/>
        </w:rPr>
        <w:t xml:space="preserve">The emergency change process was not made discoverable at the point of need. The IT Operations Lead knew changes needed approval but did not know a rapid, compliant approval path existed for urgent situations. The root cause is insufficient communication of the emergency change track, compounded by the absence of a cross-reference in the document an engineer would consult in an urgent situation.</w:t>
      </w:r>
    </w:p>
    <w:p>
      <w:pPr>
        <w:pStyle w:val="Heading1"/>
        <w:spacing w:after="100" w:before="260"/>
      </w:pPr>
      <w:r>
        <w:rPr>
          <w:rFonts w:ascii="Aptos" w:cs="Aptos" w:eastAsia="Aptos" w:hAnsi="Aptos"/>
          <w:b/>
          <w:bCs/>
          <w:i w:val="false"/>
          <w:iCs w:val="false"/>
          <w:color w:val="000000"/>
          <w:sz w:val="34"/>
          <w:szCs w:val="34"/>
        </w:rPr>
        <w:t xml:space="preserve">3. Ishikawa Cause Categorisation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Cause category</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Contributing factor identified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Process (methods)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emergency change process (OPS-010 Tab 2) was not covered in the change management briefing at Phase 5 launch. The briefing focused on standard workflows, not edge cases.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People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IT Operations Lead's instinct (urgent action justified) was correct; the knowledge gap was the procedure for doing so within the framework. This is a training gap, not a behavioural failure.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Systems / tools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 configuration drift alert fired correctly and was investigated correctly by the SOC — the monitoring system worked. The gap was in the change management workflow, not the detection system.</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Documentation</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ISMS-OPS-001 D-02.2 listed the CISO approval requirement without cross-referencing the emergency change process as the compliant path for urgent situations. This created a perceived "no compliant fast path" situation.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Measurement / monitoring</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KPI-023 (unauthorised changes: target 0) was operating correctly — the Sentinel alert and the cross-reference against OPS-010 at audit was the mechanism that detected this. The monitoring worked; the prevention did not.</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Environment (culture)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IT Operations Lead made the change and subsequently investigated and closed the Sentinel alert without escalating or disclosing — suggesting a culture where "I fixed it, so it's fine" is the default response to operational anomalies. This warrants note, though the primary root cause remains the knowledge gap.</w:t>
            </w:r>
          </w:p>
        </w:tc>
      </w:tr>
    </w:tbl>
    <w:p>
      <w:pPr>
        <w:pStyle w:val="Heading1"/>
        <w:spacing w:after="100" w:before="260"/>
      </w:pPr>
      <w:r>
        <w:rPr>
          <w:rFonts w:ascii="Aptos" w:cs="Aptos" w:eastAsia="Aptos" w:hAnsi="Aptos"/>
          <w:b/>
          <w:bCs/>
          <w:i w:val="false"/>
          <w:iCs w:val="false"/>
          <w:color w:val="000000"/>
          <w:sz w:val="34"/>
          <w:szCs w:val="34"/>
        </w:rPr>
        <w:t xml:space="preserve">4. Root Cause Statement</w:t>
      </w:r>
    </w:p>
    <w:p>
      <w:pPr>
        <w:spacing w:after="120" w:before="0"/>
        <w:jc w:val="left"/>
      </w:pPr>
      <w:r>
        <w:rPr>
          <w:rFonts w:ascii="Aptos" w:cs="Aptos" w:eastAsia="Aptos" w:hAnsi="Aptos"/>
          <w:b w:val="false"/>
          <w:bCs w:val="false"/>
          <w:i w:val="false"/>
          <w:iCs w:val="false"/>
          <w:color w:val="000000"/>
          <w:sz w:val="24"/>
          <w:szCs w:val="24"/>
        </w:rPr>
        <w:t xml:space="preserve">The root cause of NCR-003 is insufficient communication of the emergency change process, specifically the failure to make the emergency track discoverable at the point where an engineer facing an urgent configuration need would look for guidance. A secondary contributing factor is the absence of a cross-reference in OPS-001 D-02.2 that would have pointed the IT Operations Lead to the correct compliant path.</w:t>
      </w:r>
    </w:p>
    <w:p>
      <w:pPr>
        <w:spacing w:after="120" w:before="60"/>
        <w:jc w:val="left"/>
      </w:pPr>
      <w:r>
        <w:rPr>
          <w:rFonts w:ascii="Aptos" w:cs="Aptos" w:eastAsia="Aptos" w:hAnsi="Aptos"/>
          <w:b w:val="false"/>
          <w:bCs w:val="false"/>
          <w:i/>
          <w:iCs/>
          <w:color w:val="000000"/>
          <w:sz w:val="24"/>
          <w:szCs w:val="24"/>
        </w:rPr>
        <w:t xml:space="preserve">This is a communication and documentation design failure, not a deliberate circumvention of the change management process.</w:t>
      </w:r>
    </w:p>
    <w:p>
      <w:pPr>
        <w:pStyle w:val="Heading1"/>
        <w:spacing w:after="100" w:before="260"/>
      </w:pPr>
      <w:r>
        <w:rPr>
          <w:rFonts w:ascii="Aptos" w:cs="Aptos" w:eastAsia="Aptos" w:hAnsi="Aptos"/>
          <w:b/>
          <w:bCs/>
          <w:i w:val="false"/>
          <w:iCs w:val="false"/>
          <w:color w:val="000000"/>
          <w:sz w:val="34"/>
          <w:szCs w:val="34"/>
        </w:rPr>
        <w:t xml:space="preserve">5. Corrective Action Summary</w:t>
      </w:r>
    </w:p>
    <w:p>
      <w:pPr>
        <w:spacing w:after="120" w:before="0"/>
        <w:jc w:val="left"/>
      </w:pPr>
      <w:r>
        <w:rPr>
          <w:rFonts w:ascii="Aptos" w:cs="Aptos" w:eastAsia="Aptos" w:hAnsi="Aptos"/>
          <w:b w:val="false"/>
          <w:bCs w:val="false"/>
          <w:i w:val="false"/>
          <w:iCs w:val="false"/>
          <w:color w:val="000000"/>
          <w:sz w:val="24"/>
          <w:szCs w:val="24"/>
        </w:rPr>
        <w:t xml:space="preserve">Full corrective action detail is in ISMS-IMP-002 (CAR-003). Summary: create retrospective CHG-015 change record; close Sentinel alert; brief IT Operations on emergency change process using the 14 November event as a worked example; add emergency change callout to OPS-001 D-02.2. Target: 31 January 2027.</w:t>
      </w:r>
    </w:p>
    <w:p>
      <w:r>
        <w:br w:type="page"/>
      </w:r>
    </w:p>
    <w:p>
      <w:pPr>
        <w:spacing w:after="20" w:before="0"/>
        <w:jc w:val="center"/>
      </w:pPr>
      <w:r>
        <w:rPr>
          <w:rFonts w:ascii="Aptos" w:cs="Aptos" w:eastAsia="Aptos" w:hAnsi="Aptos"/>
          <w:b/>
          <w:bCs/>
          <w:i w:val="false"/>
          <w:iCs w:val="false"/>
          <w:color w:val="000000"/>
          <w:sz w:val="28"/>
          <w:szCs w:val="28"/>
        </w:rPr>
        <w:t xml:space="preserve">MEDISYNC TECHNOLOGIES PVT. LTD.</w:t>
      </w:r>
    </w:p>
    <w:p>
      <w:pPr>
        <w:spacing w:after="160"/>
        <w:jc w:val="center"/>
      </w:pPr>
      <w:r>
        <w:rPr>
          <w:rFonts w:ascii="Aptos" w:cs="Aptos" w:eastAsia="Aptos" w:hAnsi="Aptos"/>
          <w:b/>
          <w:bCs/>
          <w:i w:val="false"/>
          <w:iCs w:val="false"/>
          <w:color w:val="000000"/>
          <w:sz w:val="32"/>
          <w:szCs w:val="32"/>
        </w:rPr>
        <w:t xml:space="preserve">RCA PROGRAMME PATTERN OBSERVATIONS</w:t>
      </w:r>
    </w:p>
    <w:p>
      <w:pPr>
        <w:spacing w:after="120" w:before="0"/>
        <w:jc w:val="left"/>
      </w:pPr>
      <w:r>
        <w:rPr>
          <w:rFonts w:ascii="Aptos" w:cs="Aptos" w:eastAsia="Aptos" w:hAnsi="Aptos"/>
          <w:b w:val="false"/>
          <w:bCs w:val="false"/>
          <w:i w:val="false"/>
          <w:iCs w:val="false"/>
          <w:color w:val="000000"/>
          <w:sz w:val="24"/>
          <w:szCs w:val="24"/>
        </w:rPr>
        <w:t xml:space="preserve">The three RCAs conducted for the December 2026 internal audit NCRs reveal patterns across the programme that are worth noting independently of any individual corrective action. These observations are not additional nonconformities — they are inferences from the three root cause analyses that the ISMS Manager and Steering Committee should consider for ISMS improvement.</w:t>
      </w:r>
    </w:p>
    <w:p>
      <w:pPr>
        <w:pStyle w:val="Heading1"/>
        <w:spacing w:after="100" w:before="260"/>
      </w:pPr>
      <w:r>
        <w:rPr>
          <w:rFonts w:ascii="Aptos" w:cs="Aptos" w:eastAsia="Aptos" w:hAnsi="Aptos"/>
          <w:b/>
          <w:bCs/>
          <w:i w:val="false"/>
          <w:iCs w:val="false"/>
          <w:color w:val="000000"/>
          <w:sz w:val="34"/>
          <w:szCs w:val="34"/>
        </w:rPr>
        <w:t xml:space="preserve">Pattern 1 — Process design assumed competence it did not verify</w:t>
      </w:r>
    </w:p>
    <w:p>
      <w:pPr>
        <w:spacing w:after="120" w:before="0"/>
        <w:jc w:val="left"/>
      </w:pPr>
      <w:r>
        <w:rPr>
          <w:rFonts w:ascii="Aptos" w:cs="Aptos" w:eastAsia="Aptos" w:hAnsi="Aptos"/>
          <w:b w:val="false"/>
          <w:bCs w:val="false"/>
          <w:i w:val="false"/>
          <w:iCs w:val="false"/>
          <w:color w:val="000000"/>
          <w:sz w:val="24"/>
          <w:szCs w:val="24"/>
        </w:rPr>
        <w:t xml:space="preserve">All three NCRs share a common structural feature: a process was designed that assumed a human would take a required action, but the process contained no mechanism to verify that the action had been taken or to trigger action if it had not.</w:t>
      </w:r>
    </w:p>
    <w:p>
      <w:pPr>
        <w:spacing w:after="40" w:before="0"/>
        <w:jc w:val="left"/>
      </w:pPr>
      <w:r>
        <w:rPr>
          <w:rFonts w:ascii="Aptos" w:cs="Aptos" w:eastAsia="Aptos" w:hAnsi="Aptos"/>
          <w:b w:val="false"/>
          <w:bCs w:val="false"/>
          <w:i w:val="false"/>
          <w:iCs w:val="false"/>
          <w:color w:val="000000"/>
          <w:sz w:val="24"/>
          <w:szCs w:val="24"/>
        </w:rPr>
        <w:t xml:space="preserve"/>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RCA-001: OPS-002 completion assumed the control owner had retrievable evidence but had no verification step to confirm it.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RCA-002: the Certificate Register assumed HR or the line manager would initiate renewals but had no trigger mechanism to prompt action.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RCA-003: the change management briefing assumed engineers understood the emergency track but had no mechanism to confirm the knowledge had been absorbed.</w:t>
      </w:r>
    </w:p>
    <w:p>
      <w:pPr>
        <w:spacing w:after="120" w:before="80"/>
        <w:jc w:val="left"/>
      </w:pPr>
      <w:r>
        <w:rPr>
          <w:rFonts w:ascii="Aptos" w:cs="Aptos" w:eastAsia="Aptos" w:hAnsi="Aptos"/>
          <w:b w:val="false"/>
          <w:bCs w:val="false"/>
          <w:i w:val="false"/>
          <w:iCs w:val="false"/>
          <w:color w:val="000000"/>
          <w:sz w:val="24"/>
          <w:szCs w:val="24"/>
        </w:rPr>
        <w:t xml:space="preserve">The implication for ISMS improvement: process design should treat "a person will do this" as insufficient unless there is also a mechanism for detection if they do not. For static inventories (like OPS-002 and the Certificate Register), this means adding verification checkpoints. For procedural knowledge (like the emergency change process), this means adding cross-references at the point of need, not just in training.</w:t>
      </w:r>
    </w:p>
    <w:p>
      <w:pPr>
        <w:pStyle w:val="Heading1"/>
        <w:spacing w:after="100" w:before="260"/>
      </w:pPr>
      <w:r>
        <w:rPr>
          <w:rFonts w:ascii="Aptos" w:cs="Aptos" w:eastAsia="Aptos" w:hAnsi="Aptos"/>
          <w:b/>
          <w:bCs/>
          <w:i w:val="false"/>
          <w:iCs w:val="false"/>
          <w:color w:val="000000"/>
          <w:sz w:val="34"/>
          <w:szCs w:val="34"/>
        </w:rPr>
        <w:t xml:space="preserve">Pattern 2 — Phase 5 delivery pace created latent documentation gaps</w:t>
      </w:r>
    </w:p>
    <w:p>
      <w:pPr>
        <w:spacing w:after="120" w:before="0"/>
        <w:jc w:val="left"/>
      </w:pPr>
      <w:r>
        <w:rPr>
          <w:rFonts w:ascii="Aptos" w:cs="Aptos" w:eastAsia="Aptos" w:hAnsi="Aptos"/>
          <w:b w:val="false"/>
          <w:bCs w:val="false"/>
          <w:i w:val="false"/>
          <w:iCs w:val="false"/>
          <w:color w:val="000000"/>
          <w:sz w:val="24"/>
          <w:szCs w:val="24"/>
        </w:rPr>
        <w:t xml:space="preserve">Phase 5 produced 11 operational documents in approximately 3 months. The pace was appropriate for the programme timeline. However, two of the three NCRs (NCR-001 and NCR-003) can be traced in part to documentation that was completed under time pressure without a closing verification pass.</w:t>
      </w:r>
    </w:p>
    <w:p>
      <w:pPr>
        <w:spacing w:after="120" w:before="60"/>
        <w:jc w:val="left"/>
      </w:pPr>
      <w:r>
        <w:rPr>
          <w:rFonts w:ascii="Aptos" w:cs="Aptos" w:eastAsia="Aptos" w:hAnsi="Aptos"/>
          <w:b w:val="false"/>
          <w:bCs w:val="false"/>
          <w:i w:val="false"/>
          <w:iCs w:val="false"/>
          <w:color w:val="000000"/>
          <w:sz w:val="24"/>
          <w:szCs w:val="24"/>
        </w:rPr>
        <w:t xml:space="preserve">NCR-001: OPS-002 was completed without a retrieval verification step — a step that would have added perhaps one hour across all FI entries. NCR-003: the change management briefing did not cover the emergency track — a gap that would have required perhaps 20 additional minutes in a briefing.</w:t>
      </w:r>
    </w:p>
    <w:p>
      <w:pPr>
        <w:spacing w:after="120" w:before="60"/>
        <w:jc w:val="left"/>
      </w:pPr>
      <w:r>
        <w:rPr>
          <w:rFonts w:ascii="Aptos" w:cs="Aptos" w:eastAsia="Aptos" w:hAnsi="Aptos"/>
          <w:b w:val="false"/>
          <w:bCs w:val="false"/>
          <w:i w:val="false"/>
          <w:iCs w:val="false"/>
          <w:color w:val="000000"/>
          <w:sz w:val="24"/>
          <w:szCs w:val="24"/>
        </w:rPr>
        <w:t xml:space="preserve">The implication: the Phase 5 completion process would have benefited from a "last mile" verification pass on all documentation — not a full review, but a targeted check of the specific assumptions each document makes. This is captured as an improvement for Phase 9 (Stage 2 preparation) in ISMS-IMP-004.</w:t>
      </w:r>
    </w:p>
    <w:p>
      <w:pPr>
        <w:pStyle w:val="Heading1"/>
        <w:spacing w:after="100" w:before="260"/>
      </w:pPr>
      <w:r>
        <w:rPr>
          <w:rFonts w:ascii="Aptos" w:cs="Aptos" w:eastAsia="Aptos" w:hAnsi="Aptos"/>
          <w:b/>
          <w:bCs/>
          <w:i w:val="false"/>
          <w:iCs w:val="false"/>
          <w:color w:val="000000"/>
          <w:sz w:val="34"/>
          <w:szCs w:val="34"/>
        </w:rPr>
        <w:t xml:space="preserve">Pattern 3 — The monitoring system worked; the prevention system had gaps</w:t>
      </w:r>
    </w:p>
    <w:p>
      <w:pPr>
        <w:spacing w:after="120" w:before="0"/>
        <w:jc w:val="left"/>
      </w:pPr>
      <w:r>
        <w:rPr>
          <w:rFonts w:ascii="Aptos" w:cs="Aptos" w:eastAsia="Aptos" w:hAnsi="Aptos"/>
          <w:b w:val="false"/>
          <w:bCs w:val="false"/>
          <w:i w:val="false"/>
          <w:iCs w:val="false"/>
          <w:color w:val="000000"/>
          <w:sz w:val="24"/>
          <w:szCs w:val="24"/>
        </w:rPr>
        <w:t xml:space="preserve">A notable feature of NCR-003 is that it was detected by the monitoring system (Sentinel drift alerts) working exactly as designed. KPI-023 (unauthorised changes: target 0) triggered the cross-reference that surfaced the missing change record.</w:t>
      </w:r>
    </w:p>
    <w:p>
      <w:pPr>
        <w:spacing w:after="120" w:before="60"/>
        <w:jc w:val="left"/>
      </w:pPr>
      <w:r>
        <w:rPr>
          <w:rFonts w:ascii="Aptos" w:cs="Aptos" w:eastAsia="Aptos" w:hAnsi="Aptos"/>
          <w:b w:val="false"/>
          <w:bCs w:val="false"/>
          <w:i w:val="false"/>
          <w:iCs w:val="false"/>
          <w:color w:val="000000"/>
          <w:sz w:val="24"/>
          <w:szCs w:val="24"/>
        </w:rPr>
        <w:t xml:space="preserve">This is worth recording as a positive indicator: the detection layer is functioning. The gap was in the prevention layer — the briefing and cross-reference that should have prevented the unapproved change from being made in the first place.</w:t>
      </w:r>
    </w:p>
    <w:p>
      <w:pPr>
        <w:spacing w:after="120" w:before="60"/>
        <w:jc w:val="left"/>
      </w:pPr>
      <w:r>
        <w:rPr>
          <w:rFonts w:ascii="Aptos" w:cs="Aptos" w:eastAsia="Aptos" w:hAnsi="Aptos"/>
          <w:b w:val="false"/>
          <w:bCs w:val="false"/>
          <w:i w:val="false"/>
          <w:iCs w:val="false"/>
          <w:color w:val="000000"/>
          <w:sz w:val="24"/>
          <w:szCs w:val="24"/>
        </w:rPr>
        <w:t xml:space="preserve">The implication: MediSync's monitoring infrastructure is reliable. The corrective actions for NCR-003 appropriately focus on improving the prevention layer (briefing, cross-reference) rather than augmenting monitoring that is already detecting the issue.</w:t>
      </w:r>
    </w:p>
    <w:p>
      <w:pPr>
        <w:pStyle w:val="Heading1"/>
        <w:spacing w:after="100" w:before="260"/>
      </w:pPr>
      <w:r>
        <w:rPr>
          <w:rFonts w:ascii="Aptos" w:cs="Aptos" w:eastAsia="Aptos" w:hAnsi="Aptos"/>
          <w:b/>
          <w:bCs/>
          <w:i w:val="false"/>
          <w:iCs w:val="false"/>
          <w:color w:val="000000"/>
          <w:sz w:val="34"/>
          <w:szCs w:val="34"/>
        </w:rPr>
        <w:t xml:space="preserve">Pattern 4 — All three NCRs are correctable before Stage 1</w:t>
      </w:r>
    </w:p>
    <w:p>
      <w:pPr>
        <w:spacing w:after="120" w:before="0"/>
        <w:jc w:val="left"/>
      </w:pPr>
      <w:r>
        <w:rPr>
          <w:rFonts w:ascii="Aptos" w:cs="Aptos" w:eastAsia="Aptos" w:hAnsi="Aptos"/>
          <w:b w:val="false"/>
          <w:bCs w:val="false"/>
          <w:i w:val="false"/>
          <w:iCs w:val="false"/>
          <w:color w:val="000000"/>
          <w:sz w:val="24"/>
          <w:szCs w:val="24"/>
        </w:rPr>
        <w:t xml:space="preserve">All three NCRs are minor, all have a clear and proportionate corrective action, and all are targeted at 31 January 2027 — 2 weeks before Stage 1. None of the NCRs indicates a systemic ISMS breakdown. This is consistent with a programme that is genuinely operational but has some documentation and process maturity gaps that are normal for a first-year ISMS.</w:t>
      </w:r>
    </w:p>
    <w:p>
      <w:pPr>
        <w:spacing w:after="120" w:before="60"/>
        <w:jc w:val="left"/>
      </w:pPr>
      <w:r>
        <w:rPr>
          <w:rFonts w:ascii="Aptos" w:cs="Aptos" w:eastAsia="Aptos" w:hAnsi="Aptos"/>
          <w:b w:val="false"/>
          <w:bCs w:val="false"/>
          <w:i w:val="false"/>
          <w:iCs w:val="false"/>
          <w:color w:val="000000"/>
          <w:sz w:val="24"/>
          <w:szCs w:val="24"/>
        </w:rPr>
        <w:t xml:space="preserve">The absence of major NCRs is itself a pattern observation: the audit found no instance where a required ISMS element was entirely absent or where a control listed as FI was found to not be implemented at all. The gaps are in documentation rigour and process governance, not in security control implementation.</w:t>
      </w:r>
    </w:p>
    <w:p>
      <w:pPr>
        <w:pStyle w:val="Heading2"/>
        <w:spacing w:after="80" w:before="180"/>
      </w:pPr>
      <w:r>
        <w:rPr>
          <w:rFonts w:ascii="Aptos" w:cs="Aptos" w:eastAsia="Aptos" w:hAnsi="Aptos"/>
          <w:b/>
          <w:bCs/>
          <w:i w:val="false"/>
          <w:iCs w:val="false"/>
          <w:color w:val="000000"/>
          <w:sz w:val="28"/>
          <w:szCs w:val="28"/>
        </w:rPr>
        <w:t xml:space="preserve">Programme pattern summary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64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Pattern</w:t>
            </w:r>
          </w:p>
        </w:tc>
        <w:tc>
          <w:tcPr>
            <w:tcW w:type="dxa" w:w="6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Improvement implication</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Process design assumed human action without verification mechanisms</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Add verification checkpoints and trigger mechanisms to processes that rely on individuals taking undirected action (ISMS-IMP-004 improvement log).</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delivery pace created documentation completeness gaps</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Add a "last mile" verification pass to Phase 9 Stage 2 preparation — targeted check of documentation assumptions rather than full review.</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Detection system worked; prevention system had gaps</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Focus corrective actions on improving prevention (briefing, cross-references, triggers) rather than further augmenting already-effective monitoring.</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NCRs are minor and correctable before Stage 1</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Programme is on track. No systemic ISMS breakdown. Documentation and process maturity is the development area for Year 2.</w:t>
            </w:r>
          </w:p>
        </w:tc>
      </w:tr>
    </w:tbl>
    <w:p>
      <w:pPr>
        <w:spacing w:after="60" w:before="80"/>
        <w:jc w:val="left"/>
      </w:pPr>
      <w:r>
        <w:rPr>
          <w:rFonts w:ascii="Aptos" w:cs="Aptos" w:eastAsia="Aptos" w:hAnsi="Aptos"/>
          <w:b w:val="false"/>
          <w:bCs w:val="false"/>
          <w:i w:val="false"/>
          <w:iCs w:val="false"/>
          <w:color w:val="000000"/>
          <w:sz w:val="24"/>
          <w:szCs w:val="24"/>
        </w:rPr>
        <w:t xml:space="preserve"/>
      </w:r>
    </w:p>
    <w:p>
      <w:pPr>
        <w:spacing w:after="120" w:before="0"/>
        <w:jc w:val="left"/>
      </w:pPr>
      <w:r>
        <w:rPr>
          <w:rFonts w:ascii="Aptos" w:cs="Aptos" w:eastAsia="Aptos" w:hAnsi="Aptos"/>
          <w:b w:val="false"/>
          <w:bCs w:val="false"/>
          <w:i/>
          <w:iCs/>
          <w:color w:val="595959"/>
          <w:sz w:val="24"/>
          <w:szCs w:val="24"/>
        </w:rPr>
        <w:t xml:space="preserve">These pattern observations have been noted in the Continual Improvement Log (ISMS-IMP-004) and will be presented at the next Steering Committee review.</w:t>
      </w:r>
    </w:p>
    <w:p>
      <w:pPr>
        <w:spacing w:after="60" w:before="100"/>
        <w:jc w:val="left"/>
      </w:pPr>
      <w:r>
        <w:rPr>
          <w:rFonts w:ascii="Aptos" w:cs="Aptos" w:eastAsia="Aptos" w:hAnsi="Aptos"/>
          <w:b w:val="false"/>
          <w:bCs w:val="false"/>
          <w:i w:val="false"/>
          <w:iCs w:val="false"/>
          <w:color w:val="000000"/>
          <w:sz w:val="24"/>
          <w:szCs w:val="24"/>
        </w:rPr>
        <w:t xml:space="preserve"/>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000"/>
        <w:gridCol w:w="3000"/>
        <w:gridCol w:w="2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Signature</w:t>
            </w:r>
          </w:p>
        </w:tc>
        <w:tc>
          <w:tcPr>
            <w:tcW w:type="dxa" w:w="2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 RCA reviewed</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Jan 2027</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 RCA approved</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Jan 2027</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ISMS-IMP-003  |  Root Cause Analysis Reports  |  Confidential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4"/>
      <w:szCs w:val="34"/>
    </w:rPr>
  </w:style>
  <w:style w:type="paragraph" w:styleId="Heading2">
    <w:name w:val="Heading 2"/>
    <w:basedOn w:val="Normal"/>
    <w:next w:val="Normal"/>
    <w:qFormat/>
    <w:rPr>
      <w:rFonts w:ascii="Aptos" w:cs="Aptos" w:eastAsia="Aptos" w:hAnsi="Aptos"/>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2026-09-05T10:11:19.033Z</dcterms:created>
  <dcterms:modified xsi:type="dcterms:W3CDTF">2026-09-05T10:11:19.046Z</dcterms:modified>
</cp:coreProperties>
</file>

<file path=docProps/custom.xml><?xml version="1.0" encoding="utf-8"?>
<Properties xmlns="http://schemas.openxmlformats.org/officeDocument/2006/custom-properties" xmlns:vt="http://schemas.openxmlformats.org/officeDocument/2006/docPropsVTypes"/>
</file>