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ptos" w:cs="Aptos" w:eastAsia="Aptos" w:hAnsi="Aptos"/>
          <w:b/>
          <w:bCs/>
          <w:i w:val="false"/>
          <w:iCs w:val="false"/>
          <w:color w:val="595959"/>
          <w:sz w:val="24"/>
          <w:szCs w:val="24"/>
        </w:rPr>
        <w:t xml:space="preserve">[CERTIFICATION BODY NAME — CONFIDENTIAL]</w:t>
      </w:r>
    </w:p>
    <w:p>
      <w:pPr>
        <w:spacing w:after="160"/>
        <w:jc w:val="center"/>
      </w:pPr>
      <w:r>
        <w:rPr>
          <w:rFonts w:ascii="Aptos" w:cs="Aptos" w:eastAsia="Aptos" w:hAnsi="Aptos"/>
          <w:b w:val="false"/>
          <w:bCs w:val="false"/>
          <w:i/>
          <w:iCs/>
          <w:color w:val="595959"/>
          <w:sz w:val="22"/>
          <w:szCs w:val="22"/>
        </w:rPr>
        <w:t xml:space="preserve">ISO/IEC 27001:2022 Certification Services</w:t>
      </w:r>
    </w:p>
    <w:p>
      <w:pPr>
        <w:spacing w:after="80"/>
        <w:jc w:val="center"/>
      </w:pPr>
      <w:r>
        <w:rPr>
          <w:rFonts w:ascii="Aptos" w:cs="Aptos" w:eastAsia="Aptos" w:hAnsi="Aptos"/>
          <w:b/>
          <w:bCs/>
          <w:i w:val="false"/>
          <w:iCs w:val="false"/>
          <w:color w:val="000000"/>
          <w:sz w:val="36"/>
          <w:szCs w:val="36"/>
        </w:rPr>
        <w:t xml:space="preserve">STAGE 1 AUDIT FINDINGS REPORT</w:t>
      </w:r>
    </w:p>
    <w:p>
      <w:pPr>
        <w:spacing w:after="60"/>
        <w:jc w:val="center"/>
      </w:pPr>
      <w:r>
        <w:rPr>
          <w:rFonts w:ascii="Aptos" w:cs="Aptos" w:eastAsia="Aptos" w:hAnsi="Aptos"/>
          <w:b w:val="false"/>
          <w:bCs w:val="false"/>
          <w:i w:val="false"/>
          <w:iCs w:val="false"/>
          <w:color w:val="000000"/>
          <w:sz w:val="26"/>
          <w:szCs w:val="26"/>
        </w:rPr>
        <w:t xml:space="preserve">ISO/IEC 27001:2022 Initial Certification — Documentation Review</w:t>
      </w:r>
    </w:p>
    <w:p>
      <w:pPr>
        <w:spacing w:after="280"/>
        <w:jc w:val="center"/>
      </w:pPr>
      <w:r>
        <w:rPr>
          <w:rFonts w:ascii="Aptos" w:cs="Aptos" w:eastAsia="Aptos" w:hAnsi="Aptos"/>
          <w:b w:val="false"/>
          <w:bCs w:val="false"/>
          <w:i/>
          <w:iCs/>
          <w:color w:val="000000"/>
          <w:sz w:val="22"/>
          <w:szCs w:val="22"/>
        </w:rPr>
        <w:t xml:space="preserve">MediSync Technologies Pvt. Ltd.  |  ISMS-ST1-005  |  Issued 18 February 2027</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ISMS-ST1-005</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Audit Findings Report — ISO/IEC 27001:2022 Initial Certification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Applicant organisation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Technologies Pvt. Ltd., Bengaluru</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Design, development, deployment, and operation of 8 healthcare SaaS products across 4 locations and 2 cloud regions (per ISMS-INI-011)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fieldwork dates</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10–11 February 2027 (remote document review)</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Opening meeting</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February 2027 (ISMS-ST1-004)</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Closing meeting</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 February 2027</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withheld — IRCA-registered ISO 27001 Lead Auditor]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(healthcare IT)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withheld — healthcare information systems domain expert]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 issued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February 2027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factual accuracy response period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By 25 February 2027 (5 business days from report date)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readiness recommendation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PROCEED — subject to conditions stated in Section 7</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MediSync and Certification Body only</w:t>
            </w:r>
          </w:p>
        </w:tc>
      </w:tr>
    </w:tbl>
    <w:p>
      <w:pPr>
        <w:spacing w:after="200" w:before="140"/>
        <w:jc w:val="left"/>
      </w:pPr>
      <w:r>
        <w:rPr>
          <w:rFonts w:ascii="Aptos" w:cs="Aptos" w:eastAsia="Aptos" w:hAnsi="Aptos"/>
          <w:b w:val="false"/>
          <w:bCs w:val="false"/>
          <w:i/>
          <w:iCs/>
          <w:color w:val="000000"/>
          <w:sz w:val="24"/>
          <w:szCs w:val="24"/>
        </w:rPr>
        <w:t xml:space="preserve">This report presents the findings of the Stage 1 documentation review conducted for MediSync Technologies Pvt. Ltd. This is the authoritative Stage 1 findings document. The verbal summary presented at the closing meeting on 11 February 2027 was preliminary only.</w:t>
      </w:r>
    </w:p>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00" w:before="280"/>
      </w:pPr>
      <w:r>
        <w:rPr>
          <w:rFonts w:ascii="Aptos" w:cs="Aptos" w:eastAsia="Aptos" w:hAnsi="Aptos"/>
          <w:b/>
          <w:bCs/>
          <w:i w:val="false"/>
          <w:iCs w:val="false"/>
          <w:color w:val="000000"/>
          <w:sz w:val="34"/>
          <w:szCs w:val="34"/>
        </w:rPr>
        <w:t xml:space="preserve">1. Purpose and Scope of This Report</w:t>
      </w:r>
    </w:p>
    <w:p>
      <w:pPr>
        <w:spacing w:after="120" w:before="0"/>
        <w:jc w:val="left"/>
      </w:pPr>
      <w:r>
        <w:rPr>
          <w:rFonts w:ascii="Aptos" w:cs="Aptos" w:eastAsia="Aptos" w:hAnsi="Aptos"/>
          <w:b w:val="false"/>
          <w:bCs w:val="false"/>
          <w:i w:val="false"/>
          <w:iCs w:val="false"/>
          <w:color w:val="000000"/>
          <w:sz w:val="24"/>
          <w:szCs w:val="24"/>
        </w:rPr>
        <w:t xml:space="preserve">This report presents the lead auditor's assessment of MediSync Technologies Pvt. Ltd.'s ISMS documentation following the Stage 1 documentary review conducted on 10–11 February 2027. The Stage 1 audit assessed whether:</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MediSync's ISMS documentation is complete, consistent, and addresses all requirements of ISO/IEC 27001:2022;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ISMS is sufficiently designed and documented to justify proceeding to Stage 2 (the on-site certification audit); and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Any significant gaps exist that would constitute a major nonconformity at Stage 2 if unresolved.</w:t>
      </w:r>
    </w:p>
    <w:p>
      <w:pPr>
        <w:spacing w:after="120" w:before="60"/>
        <w:jc w:val="left"/>
      </w:pPr>
      <w:r>
        <w:rPr>
          <w:rFonts w:ascii="Aptos" w:cs="Aptos" w:eastAsia="Aptos" w:hAnsi="Aptos"/>
          <w:b w:val="false"/>
          <w:bCs w:val="false"/>
          <w:i/>
          <w:iCs/>
          <w:color w:val="000000"/>
          <w:sz w:val="24"/>
          <w:szCs w:val="24"/>
        </w:rPr>
        <w:t xml:space="preserve">The Stage 1 audit does not verify that controls are operating effectively in practice — this is the purpose of Stage 2. The Stage 1 assesses documentation maturity and ISMS design.</w:t>
      </w:r>
    </w:p>
    <w:p>
      <w:pPr>
        <w:pStyle w:val="Heading1"/>
        <w:spacing w:after="100" w:before="280"/>
      </w:pPr>
      <w:r>
        <w:rPr>
          <w:rFonts w:ascii="Aptos" w:cs="Aptos" w:eastAsia="Aptos" w:hAnsi="Aptos"/>
          <w:b/>
          <w:bCs/>
          <w:i w:val="false"/>
          <w:iCs w:val="false"/>
          <w:color w:val="000000"/>
          <w:sz w:val="34"/>
          <w:szCs w:val="34"/>
        </w:rPr>
        <w:t xml:space="preserve">2. Documents Reviewed</w:t>
      </w:r>
    </w:p>
    <w:p>
      <w:pPr>
        <w:spacing w:after="120" w:before="0"/>
        <w:jc w:val="left"/>
      </w:pPr>
      <w:r>
        <w:rPr>
          <w:rFonts w:ascii="Aptos" w:cs="Aptos" w:eastAsia="Aptos" w:hAnsi="Aptos"/>
          <w:b w:val="false"/>
          <w:bCs w:val="false"/>
          <w:i w:val="false"/>
          <w:iCs w:val="false"/>
          <w:color w:val="000000"/>
          <w:sz w:val="24"/>
          <w:szCs w:val="24"/>
        </w:rPr>
        <w:t xml:space="preserve">The lead auditor reviewed documents from MediSync's GRC Repository (Microsoft SharePoint, read-only access). The following primary documents were reviewed in full. Supporting documents were reviewed as referenced during the primary review.</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400"/>
        <w:gridCol w:w="62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Documents reviewed</w:t>
            </w:r>
          </w:p>
        </w:tc>
        <w:tc>
          <w:tcPr>
            <w:tcW w:type="dxa" w:w="6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notes</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Initiation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INI-006, INI-009, INI-010, INI-011</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four documents current and consistent. Legal Register (INI-010) reflects CERT-In, DPDP Act, UAE PDPL, and MoHFW EHR Standards.</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LDR-001, LDR-002, LDR-006, LDR-007</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Policy approved by CEO, communicated, acknowledged. CISO appointment documented. Steering Committee charter and recent minutes reviewed.</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PLN-001, PLN-004, PLN-005, PLN-006</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(21 risks), risk methodology, risk treatment plan, SoA (all 93 controls) all reviewed in full. SoA is the most thoroughly reviewed document.</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Support</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SUP-004 (incl. Tab 3), SUP-005, SUP-009, SUP-010</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records sampled. Certificate Register (Tab 3 — January 2027 restructure) reviewed. Document Register spot-checked against GRC Repository.</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OPS-001, OPS-002, OPS-005, OPS-007, OPS-008, OPS-010, OPS-011</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procedures reviewed with particular attention to incident management (OPS-005), change management (OPS-010), and risk reassessment (OPS-011).</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PEV-003, PEV-005, PEV-006, PEV-008, PEV-009</w:t>
            </w:r>
          </w:p>
        </w:tc>
        <w:tc>
          <w:tcPr>
            <w:tcW w:type="dxa" w:w="6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programme, audit report (Audit 1), findings register, management review minutes, and MR input/output record all reviewed.</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7 — Improvement</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IMP-001, IMP-002, IMP-003, IMP-006, IMP-007</w:t>
            </w:r>
          </w:p>
        </w:tc>
        <w:tc>
          <w:tcPr>
            <w:tcW w:type="dxa" w:w="6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register, CAR forms, RCA reports, CI log, and lessons learned register reviewed. Corrective action status verified for all three NCRs.</w:t>
            </w:r>
          </w:p>
        </w:tc>
      </w:tr>
    </w:tbl>
    <w:p>
      <w:pPr>
        <w:pStyle w:val="Heading1"/>
        <w:spacing w:after="100" w:before="280"/>
      </w:pPr>
      <w:r>
        <w:rPr>
          <w:rFonts w:ascii="Aptos" w:cs="Aptos" w:eastAsia="Aptos" w:hAnsi="Aptos"/>
          <w:b/>
          <w:bCs/>
          <w:i w:val="false"/>
          <w:iCs w:val="false"/>
          <w:color w:val="000000"/>
          <w:sz w:val="34"/>
          <w:szCs w:val="34"/>
        </w:rPr>
        <w:t xml:space="preserve">3. Overall Assessment</w:t>
      </w:r>
    </w:p>
    <w:p>
      <w:pPr>
        <w:spacing w:after="120" w:before="0"/>
        <w:jc w:val="left"/>
      </w:pPr>
      <w:r>
        <w:rPr>
          <w:rFonts w:ascii="Aptos" w:cs="Aptos" w:eastAsia="Aptos" w:hAnsi="Aptos"/>
          <w:b w:val="false"/>
          <w:bCs w:val="false"/>
          <w:i w:val="false"/>
          <w:iCs w:val="false"/>
          <w:color w:val="000000"/>
          <w:sz w:val="24"/>
          <w:szCs w:val="24"/>
        </w:rPr>
        <w:t xml:space="preserve">MediSync Technologies Pvt. Ltd. presents a well-structured, mature, and genuinely operational ISMS. This assessment is not a formality — it reflects the quality of the documentation reviewed and the evidence that controls are implemented in practice rather than merely documented.</w:t>
      </w:r>
    </w:p>
    <w:p>
      <w:pPr>
        <w:spacing w:after="120" w:before="60"/>
        <w:jc w:val="left"/>
      </w:pPr>
      <w:r>
        <w:rPr>
          <w:rFonts w:ascii="Aptos" w:cs="Aptos" w:eastAsia="Aptos" w:hAnsi="Aptos"/>
          <w:b w:val="false"/>
          <w:bCs w:val="false"/>
          <w:i w:val="false"/>
          <w:iCs w:val="false"/>
          <w:color w:val="000000"/>
          <w:sz w:val="24"/>
          <w:szCs w:val="24"/>
        </w:rPr>
        <w:t xml:space="preserve">Several aspects of the ISMS documentation are noteworthy: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risk register (21 risks, Phase 5 reassessment incorporated) is detailed, internally consistent, and the risk closures are well-evidenced. The closure of the one HIGH risk (R-006 — IR plan failure) is supported by the procedure document, the tabletop exercise record, and the incident register — three separate evidence sources.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internal audit report (ISMS-PEV-005) demonstrates genuine auditor independence — the external audit lead identified real nonconformities that were not previously self-identified, including the A5.8 evidence retrieval gap (NCR-001), which required a corrective action that the CISO confirmed was completed before Stage 1.</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corrective action process shows the ISMS is learning. All three NCRs from the December 2026 audit had completed corrective actions by 28 January 2027 — three days before the 31 January target. The AZ-500 certification renewal (NCR-002) was confirmed passed at the Stage 1 opening meeting, ahead of schedule.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lessons learned register (18 lessons from 6 source types) and the continual improvement log (15 items from 5 sources) demonstrate that the ISMS is self-improving across multiple feedback loops — not reactive to failures alone.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dual-jurisdiction regulatory framework (CERT-In, DPDP Act, UAE PDPL) is coherently documented. MediSync's approach to the DPDP Act implementation rules uncertainty — monitoring and a procedure drafted to anticipated obligations — is pragmatic and appropriate given external regulatory uncertainty.</w:t>
      </w:r>
    </w:p>
    <w:p>
      <w:pPr>
        <w:spacing w:after="120" w:before="60"/>
        <w:jc w:val="left"/>
      </w:pPr>
      <w:r>
        <w:rPr>
          <w:rFonts w:ascii="Aptos" w:cs="Aptos" w:eastAsia="Aptos" w:hAnsi="Aptos"/>
          <w:b/>
          <w:bCs/>
          <w:i w:val="false"/>
          <w:iCs w:val="false"/>
          <w:color w:val="000000"/>
          <w:sz w:val="24"/>
          <w:szCs w:val="24"/>
        </w:rPr>
        <w:t xml:space="preserve">The Stage 1 assessment confirms that the ISMS is designed and documented to a standard consistent with ISO/IEC 27001:2022 certification. The lead auditor recommends proceeding to Stage 2.</w:t>
      </w:r>
    </w:p>
    <w:p>
      <w:pPr>
        <w:pStyle w:val="Heading1"/>
        <w:spacing w:after="100" w:before="280"/>
      </w:pPr>
      <w:r>
        <w:rPr>
          <w:rFonts w:ascii="Aptos" w:cs="Aptos" w:eastAsia="Aptos" w:hAnsi="Aptos"/>
          <w:b/>
          <w:bCs/>
          <w:i w:val="false"/>
          <w:iCs w:val="false"/>
          <w:color w:val="000000"/>
          <w:sz w:val="34"/>
          <w:szCs w:val="34"/>
        </w:rPr>
        <w:t xml:space="preserve">4. Clause-by-Clause Assessment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3200"/>
        <w:gridCol w:w="5080"/>
      </w:tblGrid>
      <w:tr>
        <w:trPr>
          <w:cantSplit/>
          <w:tblHeader/>
        </w:trPr>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Clause</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w:t>
            </w:r>
          </w:p>
        </w:tc>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Notes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Context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interested parties, legal register, and scope all current and appropriate. Scope includes all four locations, 8 products, and both cloud regions. No unexplained exclusions.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 Leadership</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Policy approved by CEO, communicated, and acknowledged. CISO formally appointed. Steering Committee constituted and meeting per charter. IS objectives are measurable and linked to KPIs.</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6.1 — Risk assessment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methodology documented and followed. 21 risks assessed. Phase 5 reassessment incorporated. One HIGH risk closed (R-006) — closure well-evidenced. Three risks above risk appetite have active treatment actions.</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6.1.3 — SoA</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SUBSTANTIALLY CONFORMING — see SF-001</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 of 93 controls Fully Implemented. 3 controls In Progress with documented completion timelines. 0 controls Not Implemented without justification. One SoA evidence accessibility finding (see Section 5).</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6.2 — Objectives</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 — note OO-08</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IS objectives documented and measurable. One objective (OO-08 — questionnaire response ≤5 days) not yet at target — accepted as post-certification improvement item.</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 — Support</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records maintained. Certificate Register restructured (NCR-002 corrective action complete). Awareness at 94% — Procurement gap attributed to vacancy and accepted. Document Register matches GRC Repository (5 documents spot-checked).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 — Operation</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procedures in force across all 9 domains. Change management log reviewed — CHG-015 retrospective record confirmed (NCR-003 corrective action complete). Incident register current. Vendor assessments complete.</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9.1 — Monitoring</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KPIs defined and measured per monitoring plan. Monthly GRC reporting operational.</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9.2 — Internal audit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conducted by external IRCA-registered auditor. Full scope. 0 major NCRs. 3 minor NCRs — all corrective actions confirmed complete. Audit programme in place for Year 1.</w:t>
            </w:r>
          </w:p>
        </w:tc>
      </w:tr>
      <w:tr>
        <w:trPr>
          <w:cantSplit/>
        </w:trPr>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9.3 — Management review</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2026 management review: CEO-chaired, all 11 Clause 9.3.2 mandatory inputs addressed (per PEV-009 Input/Output Record), all 3 Clause 9.3.3 mandatory outputs produced. Stage 1 proceed decision formally recorded.</w:t>
            </w:r>
          </w:p>
        </w:tc>
      </w:tr>
      <w:tr>
        <w:trPr>
          <w:cantSplit/>
        </w:trPr>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Improvement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CONFORMING</w:t>
            </w:r>
          </w:p>
        </w:tc>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and corrective action process operational. Continual improvement log active. Lessons learned from 6 source types — all actioned. Three NCR CAs confirmed complete before Stage 1.</w:t>
            </w:r>
          </w:p>
        </w:tc>
      </w:tr>
    </w:tbl>
    <w:p>
      <w:pPr>
        <w:pStyle w:val="Heading1"/>
        <w:spacing w:after="100" w:before="280"/>
      </w:pPr>
      <w:r>
        <w:rPr>
          <w:rFonts w:ascii="Aptos" w:cs="Aptos" w:eastAsia="Aptos" w:hAnsi="Aptos"/>
          <w:b/>
          <w:bCs/>
          <w:i w:val="false"/>
          <w:iCs w:val="false"/>
          <w:color w:val="000000"/>
          <w:sz w:val="34"/>
          <w:szCs w:val="34"/>
        </w:rPr>
        <w:t xml:space="preserve">5. Stage 1 Findings</w:t>
      </w:r>
    </w:p>
    <w:p>
      <w:pPr>
        <w:spacing w:after="120" w:before="0"/>
        <w:jc w:val="left"/>
      </w:pPr>
      <w:r>
        <w:rPr>
          <w:rFonts w:ascii="Aptos" w:cs="Aptos" w:eastAsia="Aptos" w:hAnsi="Aptos"/>
          <w:b w:val="false"/>
          <w:bCs w:val="false"/>
          <w:i w:val="false"/>
          <w:iCs w:val="false"/>
          <w:color w:val="000000"/>
          <w:sz w:val="24"/>
          <w:szCs w:val="24"/>
        </w:rPr>
        <w:t xml:space="preserve">The following findings are issued as a result of the Stage 1 documentation review. The finding classification system used is: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Positive finding: an area of particularly strong ISMS documentation or design.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Observation: an area where improvement is recommended but which does not represent a gap requiring mandatory action before Stage 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Stage 2 condition: a specific requirement that must be met before Stage 2 can proceed.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Major finding: a significant gap that would likely constitute a major nonconformity at Stage 2 if unresolved. No major findings identified.</w:t>
      </w:r>
    </w:p>
    <w:p>
      <w:pPr>
        <w:spacing w:after="120" w:before="60"/>
        <w:jc w:val="left"/>
      </w:pPr>
      <w:r>
        <w:rPr>
          <w:rFonts w:ascii="Aptos" w:cs="Aptos" w:eastAsia="Aptos" w:hAnsi="Aptos"/>
          <w:b w:val="false"/>
          <w:bCs w:val="false"/>
          <w:i/>
          <w:iCs/>
          <w:color w:val="000000"/>
          <w:sz w:val="24"/>
          <w:szCs w:val="24"/>
        </w:rPr>
        <w:t xml:space="preserve">Stage 1 findings are not the same as Stage 2 nonconformities. They inform Stage 2 preparation — they are not formal nonconformities in the ISO 27001 sense.</w:t>
      </w:r>
    </w:p>
    <w:p>
      <w:pPr>
        <w:pStyle w:val="Heading2"/>
        <w:spacing w:after="80" w:before="180"/>
      </w:pPr>
      <w:r>
        <w:rPr>
          <w:rFonts w:ascii="Aptos" w:cs="Aptos" w:eastAsia="Aptos" w:hAnsi="Aptos"/>
          <w:b/>
          <w:bCs/>
          <w:i w:val="false"/>
          <w:iCs w:val="false"/>
          <w:color w:val="000000"/>
          <w:sz w:val="28"/>
          <w:szCs w:val="28"/>
        </w:rPr>
        <w:t xml:space="preserve">5.1 Positive Findings</w:t>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PF-001  |  Risk closure evidence — exceptional standard</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closure of R-006 (IR plan failure — the one HIGH risk in the register) is supported by three independent evidence sources: the IR procedure document (ISMS-OPS-005 v1.0), the tabletop exercise record (INC-003 with 5 findings all incorporated), and the incident register (ISMS-OPS-006 with 3 confirmed entries). This is a higher standard of closure evidence than typically seen at Stage 1 — most organisations can show a procedure but not the operational evidence that it has been tested.</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The lead auditor notes that the tabletop exercise was specifically designed to test the procedure under time pressure, and the 5 findings it surfaced were all incorporated into the procedure before the internal audit. The subsequent internal audit confirmation (POS-002 in ISMS-PEV-005) that the SOC Manager could describe the CERT-In clock trigger without consulting the document is a strong indicator that the procedure is genuinely embedded.</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No Stage 2 action required. The lead auditor will conduct a live demonstration of the IR procedure at Stage 2 — this is expected to pass given the evidence presented.</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PF-002  |  Corrective action process — all three NCRs resolved ahead of target</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All three minor NCRs from the December 2026 internal audit were confirmed closed by 28 January 2027 — three days before the 31 January 2027 target. NCR-002 (AZ-500 certification lapse) is particularly noteworthy: the certificant (Sana Al Farsi, Head of Cloud Infrastructure) sat and passed the AZ-500 examination on 28 January 2027, ahead of schedule. This demonstrates a corrective action culture where action follows identification promptly.</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The RCA reports (ISMS-IMP-003) add further quality — each NCR has a 5-Why analysis and Ishikawa categorisation that distinguishes the root cause from the symptom. The corrective actions address the root causes: the OPS-002 completion verification step (NCR-001), the certificate register governance structure (NCR-002), and the emergency change process cross-reference in OPS-001 D-02.2 (NCR-003).</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No Stage 2 action required. Effectiveness of corrective actions to be verified at Stage 2 through document review and selected knowledge checks.</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375623" w:sz="12"/>
          <w:left w:val="thick" w:color="375623" w:sz="12"/>
          <w:bottom w:val="thick" w:color="375623" w:sz="12"/>
          <w:right w:val="thick" w:color="375623" w:sz="12"/>
          <w:insideH w:val="single" w:color="auto" w:sz="4"/>
          <w:insideV w:val="single" w:color="auto" w:sz="4"/>
        </w:tblBorders>
      </w:tblPr>
      <w:tblGrid>
        <w:gridCol w:w="10080"/>
      </w:tblGrid>
      <w:tr>
        <w:tc>
          <w:tcPr>
            <w:tcW w:type="dxa" w:w="10080"/>
            <w:tcBorders>
              <w:top w:val="thick" w:color="375623" w:sz="12"/>
              <w:left w:val="thick" w:color="375623" w:sz="12"/>
              <w:bottom w:val="thick" w:color="375623" w:sz="12"/>
              <w:right w:val="thick" w:color="375623" w:sz="12"/>
            </w:tcBorders>
            <w:shd w:fill="E2EFDA" w:color="auto" w:val="clear"/>
            <w:tcMar>
              <w:top w:type="dxa" w:w="100"/>
              <w:left w:type="dxa" w:w="160"/>
              <w:bottom w:type="dxa" w:w="100"/>
              <w:right w:type="dxa" w:w="160"/>
            </w:tcMar>
          </w:tcPr>
          <w:p>
            <w:pPr>
              <w:spacing w:after="60" w:before="0"/>
            </w:pPr>
            <w:r>
              <w:rPr>
                <w:rFonts w:ascii="Aptos" w:cs="Aptos" w:eastAsia="Aptos" w:hAnsi="Aptos"/>
                <w:b/>
                <w:bCs/>
                <w:i w:val="false"/>
                <w:iCs w:val="false"/>
                <w:color w:val="375623"/>
                <w:sz w:val="22"/>
                <w:szCs w:val="22"/>
              </w:rPr>
              <w:t xml:space="preserve">POSITIVE FINDING — PF-003  |  Dual-jurisdiction regulatory coherence</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MediSync operates under three mandatory regulations across two jurisdictions (CERT-In and DPDP Act in India; UAE PDPL in the UAE). The incident notification procedure (ISMS-OPS-005) documents three separate notification tracks with distinct timelines, trigger points, owners, and authority contacts. The legal register (ISMS-INI-010) reflects all four applicable regulations. The Head of Legal confirmed at the December 2026 management review that all 22 enterprise customer DPAs are current.</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This level of regulatory coherence is above average for an organisation of MediSync's size. The DPDP Act implementation uncertainty is handled pragmatically — the procedure is drafted to anticipated obligations, and the Head of Legal monitors MeitY publications quarterly. This is the appropriate approach given external regulatory uncertainty.</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No Stage 2 action required. The lead auditor will review a sample DPA at Stage 2 to confirm currency.</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5.2 Observations (no mandatory action required)</w:t>
      </w:r>
    </w:p>
    <w:tbl>
      <w:tblPr>
        <w:tblW w:type="dxa" w:w="10080"/>
        <w:tblBorders>
          <w:top w:val="thick" w:color="7F6000" w:sz="12"/>
          <w:left w:val="thick" w:color="7F6000" w:sz="12"/>
          <w:bottom w:val="thick" w:color="7F6000" w:sz="12"/>
          <w:right w:val="thick" w:color="7F6000" w:sz="12"/>
          <w:insideH w:val="single" w:color="auto" w:sz="4"/>
          <w:insideV w:val="single" w:color="auto" w:sz="4"/>
        </w:tblBorders>
      </w:tblPr>
      <w:tblGrid>
        <w:gridCol w:w="10080"/>
      </w:tblGrid>
      <w:tr>
        <w:tc>
          <w:tcPr>
            <w:tcW w:type="dxa" w:w="10080"/>
            <w:tcBorders>
              <w:top w:val="thick" w:color="7F6000" w:sz="12"/>
              <w:left w:val="thick" w:color="7F6000" w:sz="12"/>
              <w:bottom w:val="thick" w:color="7F6000" w:sz="12"/>
              <w:right w:val="thick" w:color="7F6000" w:sz="12"/>
            </w:tcBorders>
            <w:shd w:fill="FFF9C4" w:color="auto" w:val="clear"/>
            <w:tcMar>
              <w:top w:type="dxa" w:w="100"/>
              <w:left w:type="dxa" w:w="160"/>
              <w:bottom w:type="dxa" w:w="100"/>
              <w:right w:type="dxa" w:w="160"/>
            </w:tcMar>
          </w:tcPr>
          <w:p>
            <w:pPr>
              <w:spacing w:after="60" w:before="0"/>
            </w:pPr>
            <w:r>
              <w:rPr>
                <w:rFonts w:ascii="Aptos" w:cs="Aptos" w:eastAsia="Aptos" w:hAnsi="Aptos"/>
                <w:b/>
                <w:bCs/>
                <w:i w:val="false"/>
                <w:iCs w:val="false"/>
                <w:color w:val="7F6000"/>
                <w:sz w:val="22"/>
                <w:szCs w:val="22"/>
              </w:rPr>
              <w:t xml:space="preserve">OBSERVATION — OBS-S1-001  |  Awareness completion: 94% with Procurement structural gap</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Awareness training completion is 94% across all staff. The Procurement department shows 0% completion due to the Head of Procurement vacancy (Month 11 at Stage 1 date). The gap is structural — it is not a programme failure.</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The gap is documented, explained, and accepted at the December 2026 management review. The ISMS Manager confirmed the Head of Procurement appointment is in progress (February 2027 target). The lead auditor accepts the management decision to proceed to Stage 1 with this gap given the structural cause.</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No Stage 2 blocking action. Awareness completion should reach 95%+ by Stage 2 on Procurement appointment. Lead auditor to confirm at Stage 2.</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7F6000" w:sz="12"/>
          <w:left w:val="thick" w:color="7F6000" w:sz="12"/>
          <w:bottom w:val="thick" w:color="7F6000" w:sz="12"/>
          <w:right w:val="thick" w:color="7F6000" w:sz="12"/>
          <w:insideH w:val="single" w:color="auto" w:sz="4"/>
          <w:insideV w:val="single" w:color="auto" w:sz="4"/>
        </w:tblBorders>
      </w:tblPr>
      <w:tblGrid>
        <w:gridCol w:w="10080"/>
      </w:tblGrid>
      <w:tr>
        <w:tc>
          <w:tcPr>
            <w:tcW w:type="dxa" w:w="10080"/>
            <w:tcBorders>
              <w:top w:val="thick" w:color="7F6000" w:sz="12"/>
              <w:left w:val="thick" w:color="7F6000" w:sz="12"/>
              <w:bottom w:val="thick" w:color="7F6000" w:sz="12"/>
              <w:right w:val="thick" w:color="7F6000" w:sz="12"/>
            </w:tcBorders>
            <w:shd w:fill="FFF9C4" w:color="auto" w:val="clear"/>
            <w:tcMar>
              <w:top w:type="dxa" w:w="100"/>
              <w:left w:type="dxa" w:w="160"/>
              <w:bottom w:type="dxa" w:w="100"/>
              <w:right w:type="dxa" w:w="160"/>
            </w:tcMar>
          </w:tcPr>
          <w:p>
            <w:pPr>
              <w:spacing w:after="60" w:before="0"/>
            </w:pPr>
            <w:r>
              <w:rPr>
                <w:rFonts w:ascii="Aptos" w:cs="Aptos" w:eastAsia="Aptos" w:hAnsi="Aptos"/>
                <w:b/>
                <w:bCs/>
                <w:i w:val="false"/>
                <w:iCs w:val="false"/>
                <w:color w:val="7F6000"/>
                <w:sz w:val="22"/>
                <w:szCs w:val="22"/>
              </w:rPr>
              <w:t xml:space="preserve">OBSERVATION — OBS-S1-002  |  Three SoA controls remain In Progress</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Three controls are marked In Progress in ISMS-PLN-006: A5.29 (IS during disruption — UAE DR test pending October 2027), A5.31 (legal requirements — DPDP Act implementation rules not yet finalised by Government of India), A5.36 (compliance with policies — annual review due April 2027). Each has a documented completion timeline in the SoA.</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The lead auditor notes that A5.31 cannot be marked FI until the DPDP Act implementation rules are published — this is outside MediSync's control. The current approach (procedure drafted to anticipated obligations, quarterly legal monitoring) is appropriate. A5.29 and A5.36 have specific target dates. None of the three IP controls represents a systemic ISMS design gap.</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Stage 2 expectation: A5.36 should be FI by Stage 2 (annual review due April 2027 — before the Stage 2 target date). A5.29 and A5.31 should either be FI or have updated documented timelines accepted at the April 2027 post-certification management review.</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7F6000" w:sz="12"/>
          <w:left w:val="thick" w:color="7F6000" w:sz="12"/>
          <w:bottom w:val="thick" w:color="7F6000" w:sz="12"/>
          <w:right w:val="thick" w:color="7F6000" w:sz="12"/>
          <w:insideH w:val="single" w:color="auto" w:sz="4"/>
          <w:insideV w:val="single" w:color="auto" w:sz="4"/>
        </w:tblBorders>
      </w:tblPr>
      <w:tblGrid>
        <w:gridCol w:w="10080"/>
      </w:tblGrid>
      <w:tr>
        <w:tc>
          <w:tcPr>
            <w:tcW w:type="dxa" w:w="10080"/>
            <w:tcBorders>
              <w:top w:val="thick" w:color="7F6000" w:sz="12"/>
              <w:left w:val="thick" w:color="7F6000" w:sz="12"/>
              <w:bottom w:val="thick" w:color="7F6000" w:sz="12"/>
              <w:right w:val="thick" w:color="7F6000" w:sz="12"/>
            </w:tcBorders>
            <w:shd w:fill="FFF9C4" w:color="auto" w:val="clear"/>
            <w:tcMar>
              <w:top w:type="dxa" w:w="100"/>
              <w:left w:type="dxa" w:w="160"/>
              <w:bottom w:type="dxa" w:w="100"/>
              <w:right w:type="dxa" w:w="160"/>
            </w:tcMar>
          </w:tcPr>
          <w:p>
            <w:pPr>
              <w:spacing w:after="60" w:before="0"/>
            </w:pPr>
            <w:r>
              <w:rPr>
                <w:rFonts w:ascii="Aptos" w:cs="Aptos" w:eastAsia="Aptos" w:hAnsi="Aptos"/>
                <w:b/>
                <w:bCs/>
                <w:i w:val="false"/>
                <w:iCs w:val="false"/>
                <w:color w:val="7F6000"/>
                <w:sz w:val="22"/>
                <w:szCs w:val="22"/>
              </w:rPr>
              <w:t xml:space="preserve">OBSERVATION — OBS-S1-003  |  UAE DR test not yet conducted</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October 2026 DR test covered the India region (AWS ap-south-1) only. Azure UAE North recovery has not been independently tested. ISMS-OPS-007 Section 9 documents this limitation and CI-013 in the Continual Improvement Log schedules a UAE test for October 2027.</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The lead auditor notes that the India test confirmed all RTO targets. The UAE region limitation is disclosed and planned. A complete regional cloud outage of AWS ap-south-1 is a credible risk scenario — MediSync's response (tested recovery from VaultArchive backups, confirmed immutable storage) addresses the most critical DR scenario. The UAE DR gap is a completeness item, not a design gap.</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No Stage 2 blocking action. Lead auditor notes this as a Year 1 surveillance item — the 2027 UAE DR test will be reviewed at the first surveillance audit (December 2027).</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5.3 Stage 2 Conditions (required before Stage 2 proceeds)</w:t>
      </w:r>
    </w:p>
    <w:tbl>
      <w:tblPr>
        <w:tblW w:type="dxa" w:w="10080"/>
        <w:tblBorders>
          <w:top w:val="thick" w:color="1F3864" w:sz="12"/>
          <w:left w:val="thick" w:color="1F3864" w:sz="12"/>
          <w:bottom w:val="thick" w:color="1F3864" w:sz="12"/>
          <w:right w:val="thick" w:color="1F3864" w:sz="12"/>
          <w:insideH w:val="single" w:color="auto" w:sz="4"/>
          <w:insideV w:val="single" w:color="auto" w:sz="4"/>
        </w:tblBorders>
      </w:tblPr>
      <w:tblGrid>
        <w:gridCol w:w="10080"/>
      </w:tblGrid>
      <w:tr>
        <w:tc>
          <w:tcPr>
            <w:tcW w:type="dxa" w:w="10080"/>
            <w:tcBorders>
              <w:top w:val="thick" w:color="1F3864" w:sz="12"/>
              <w:left w:val="thick" w:color="1F3864" w:sz="12"/>
              <w:bottom w:val="thick" w:color="1F3864" w:sz="12"/>
              <w:right w:val="thick" w:color="1F3864" w:sz="12"/>
            </w:tcBorders>
            <w:shd w:fill="DDEBF7" w:color="auto" w:val="clear"/>
            <w:tcMar>
              <w:top w:type="dxa" w:w="100"/>
              <w:left w:type="dxa" w:w="160"/>
              <w:bottom w:type="dxa" w:w="100"/>
              <w:right w:type="dxa" w:w="160"/>
            </w:tcMar>
          </w:tcPr>
          <w:p>
            <w:pPr>
              <w:spacing w:after="60" w:before="0"/>
            </w:pPr>
            <w:r>
              <w:rPr>
                <w:rFonts w:ascii="Aptos" w:cs="Aptos" w:eastAsia="Aptos" w:hAnsi="Aptos"/>
                <w:b/>
                <w:bCs/>
                <w:i w:val="false"/>
                <w:iCs w:val="false"/>
                <w:color w:val="1F3864"/>
                <w:sz w:val="22"/>
                <w:szCs w:val="22"/>
              </w:rPr>
              <w:t xml:space="preserve">STAGE 2 CONDITION — S2-C001  |  Penetration test results — pre-Stage 2</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annual penetration test was not complete at Stage 1 (10–11 February 2027). The test is scheduled for 17–21 February 2027. The lead auditor noted at the opening meeting that this is a pre-Stage 2 condition.</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This condition was disclosed proactively by MediSync in the Stage 1 application and confirmed at the opening meeting. The test scope (API gateway, HIS-CORE, EHR-CORE external interfaces) is appropriate to the ISMS scope and consistent with prior years. The lead auditor has confirmed the test is scheduled with a named external firm.</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REQUIRED before Stage 2: MediSync to share penetration test results with the lead auditor before Stage 2 is scheduled. Any Critical or High findings must have documented remediation before Stage 2 commences (or a CISO-signed risk acceptance for findings that cannot be remediated within the Stage 2 timeline). Action owner: Vikram Sundaram (CISO). Deadline: before Stage 2 scheduling.</w:t>
            </w:r>
          </w:p>
        </w:tc>
      </w:tr>
    </w:tbl>
    <w:p>
      <w:pPr>
        <w:spacing w:after="120" w:before="0"/>
        <w:jc w:val="left"/>
      </w:pPr>
      <w:r>
        <w:rPr>
          <w:rFonts w:ascii="Aptos" w:cs="Aptos" w:eastAsia="Aptos" w:hAnsi="Aptos"/>
          <w:b w:val="false"/>
          <w:bCs w:val="false"/>
          <w:i w:val="false"/>
          <w:iCs w:val="false"/>
          <w:color w:val="000000"/>
          <w:sz w:val="24"/>
          <w:szCs w:val="24"/>
        </w:rPr>
        <w:t xml:space="preserve"/>
      </w:r>
    </w:p>
    <w:tbl>
      <w:tblPr>
        <w:tblW w:type="dxa" w:w="10080"/>
        <w:tblBorders>
          <w:top w:val="thick" w:color="1F3864" w:sz="12"/>
          <w:left w:val="thick" w:color="1F3864" w:sz="12"/>
          <w:bottom w:val="thick" w:color="1F3864" w:sz="12"/>
          <w:right w:val="thick" w:color="1F3864" w:sz="12"/>
          <w:insideH w:val="single" w:color="auto" w:sz="4"/>
          <w:insideV w:val="single" w:color="auto" w:sz="4"/>
        </w:tblBorders>
      </w:tblPr>
      <w:tblGrid>
        <w:gridCol w:w="10080"/>
      </w:tblGrid>
      <w:tr>
        <w:tc>
          <w:tcPr>
            <w:tcW w:type="dxa" w:w="10080"/>
            <w:tcBorders>
              <w:top w:val="thick" w:color="1F3864" w:sz="12"/>
              <w:left w:val="thick" w:color="1F3864" w:sz="12"/>
              <w:bottom w:val="thick" w:color="1F3864" w:sz="12"/>
              <w:right w:val="thick" w:color="1F3864" w:sz="12"/>
            </w:tcBorders>
            <w:shd w:fill="DDEBF7" w:color="auto" w:val="clear"/>
            <w:tcMar>
              <w:top w:type="dxa" w:w="100"/>
              <w:left w:type="dxa" w:w="160"/>
              <w:bottom w:type="dxa" w:w="100"/>
              <w:right w:type="dxa" w:w="160"/>
            </w:tcMar>
          </w:tcPr>
          <w:p>
            <w:pPr>
              <w:spacing w:after="60" w:before="0"/>
            </w:pPr>
            <w:r>
              <w:rPr>
                <w:rFonts w:ascii="Aptos" w:cs="Aptos" w:eastAsia="Aptos" w:hAnsi="Aptos"/>
                <w:b/>
                <w:bCs/>
                <w:i w:val="false"/>
                <w:iCs w:val="false"/>
                <w:color w:val="1F3864"/>
                <w:sz w:val="22"/>
                <w:szCs w:val="22"/>
              </w:rPr>
              <w:t xml:space="preserve">STAGE 2 CONDITION — S2-C002  |  Evidence accessibility — OPS-002 10-control spot-check</w:t>
            </w:r>
          </w:p>
          <w:p>
            <w:pPr>
              <w:spacing w:after="40" w:before="0"/>
            </w:pPr>
            <w:r>
              <w:rPr>
                <w:rFonts w:ascii="Aptos" w:cs="Aptos" w:eastAsia="Aptos" w:hAnsi="Aptos"/>
                <w:b/>
                <w:bCs/>
                <w:i w:val="false"/>
                <w:iCs w:val="false"/>
                <w:color w:val="000000"/>
                <w:sz w:val="24"/>
                <w:szCs w:val="24"/>
              </w:rPr>
              <w:t xml:space="preserve">Finding: </w:t>
            </w:r>
            <w:r>
              <w:rPr>
                <w:rFonts w:ascii="Aptos" w:cs="Aptos" w:eastAsia="Aptos" w:hAnsi="Aptos"/>
                <w:b w:val="false"/>
                <w:bCs w:val="false"/>
                <w:i w:val="false"/>
                <w:iCs w:val="false"/>
                <w:color w:val="000000"/>
                <w:sz w:val="24"/>
                <w:szCs w:val="24"/>
              </w:rPr>
              <w:t xml:space="preserve">The lead auditor conducted a spot-check of 10 SoA controls marked Fully Implemented, verifying that the evidence cited in ISMS-OPS-002 was retrievable at the stated GRC Repository path. Nine of 10 controls passed. One control (A6.3 — awareness) cited the awareness platform as evidence but provided the platform admin URL rather than a GRC-resident evidence document. The awareness completion data itself was confirmed in ISMS-SUP-004 Tab 2 — the gap is that OPS-002 cites an external platform rather than a GRC-resident summary record.</w:t>
            </w:r>
          </w:p>
          <w:p>
            <w:pPr>
              <w:spacing w:after="40" w:before="0"/>
            </w:pPr>
            <w:r>
              <w:rPr>
                <w:rFonts w:ascii="Aptos" w:cs="Aptos" w:eastAsia="Aptos" w:hAnsi="Aptos"/>
                <w:b/>
                <w:bCs/>
                <w:i w:val="false"/>
                <w:iCs w:val="false"/>
                <w:color w:val="000000"/>
                <w:sz w:val="24"/>
                <w:szCs w:val="24"/>
              </w:rPr>
              <w:t xml:space="preserve">CB assessment: </w:t>
            </w:r>
            <w:r>
              <w:rPr>
                <w:rFonts w:ascii="Aptos" w:cs="Aptos" w:eastAsia="Aptos" w:hAnsi="Aptos"/>
                <w:b w:val="false"/>
                <w:bCs w:val="false"/>
                <w:i w:val="false"/>
                <w:iCs w:val="false"/>
                <w:color w:val="000000"/>
                <w:sz w:val="24"/>
                <w:szCs w:val="24"/>
              </w:rPr>
              <w:t xml:space="preserve">This is a documentation precision finding rather than a control implementation gap. The awareness programme is clearly implemented (94% completion). The OPS-002 entry for A6.3 should cite a GRC-resident evidence document (e.g., a monthly awareness completion summary exported from the platform and filed in the GRC Repository) rather than a live platform URL.</w:t>
            </w:r>
          </w:p>
          <w:p>
            <w:pPr>
              <w:spacing w:after="0" w:before="0"/>
            </w:pPr>
            <w:r>
              <w:rPr>
                <w:rFonts w:ascii="Aptos" w:cs="Aptos" w:eastAsia="Aptos" w:hAnsi="Aptos"/>
                <w:b/>
                <w:bCs/>
                <w:i w:val="false"/>
                <w:iCs w:val="false"/>
                <w:color w:val="000000"/>
                <w:sz w:val="24"/>
                <w:szCs w:val="24"/>
              </w:rPr>
              <w:t xml:space="preserve">Stage 2 implication: </w:t>
            </w:r>
            <w:r>
              <w:rPr>
                <w:rFonts w:ascii="Aptos" w:cs="Aptos" w:eastAsia="Aptos" w:hAnsi="Aptos"/>
                <w:b w:val="false"/>
                <w:bCs w:val="false"/>
                <w:i w:val="false"/>
                <w:iCs w:val="false"/>
                <w:color w:val="000000"/>
                <w:sz w:val="24"/>
                <w:szCs w:val="24"/>
              </w:rPr>
              <w:t xml:space="preserve">REQUIRED before Stage 2: MediSync to create a GRC-resident evidence document for A6.3 (e.g., monthly awareness completion summary for the most recent month, exported from the platform and filed in /Phase 5 — Operation/). Update ISMS-OPS-002 A6.3 evidence location field. This is a minor documentation correction. Action owner: Meera Iyer (ISMS Manager). Deadline: before Stage 2 commences.</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2"/>
        <w:spacing w:after="80" w:before="180"/>
      </w:pPr>
      <w:r>
        <w:rPr>
          <w:rFonts w:ascii="Aptos" w:cs="Aptos" w:eastAsia="Aptos" w:hAnsi="Aptos"/>
          <w:b/>
          <w:bCs/>
          <w:i w:val="false"/>
          <w:iCs w:val="false"/>
          <w:color w:val="000000"/>
          <w:sz w:val="28"/>
          <w:szCs w:val="28"/>
        </w:rPr>
        <w:t xml:space="preserve">5.4 Items confirmed resolved at Stage 1</w:t>
      </w:r>
    </w:p>
    <w:p>
      <w:pPr>
        <w:spacing w:after="120" w:before="0"/>
        <w:jc w:val="left"/>
      </w:pPr>
      <w:r>
        <w:rPr>
          <w:rFonts w:ascii="Aptos" w:cs="Aptos" w:eastAsia="Aptos" w:hAnsi="Aptos"/>
          <w:b w:val="false"/>
          <w:bCs w:val="false"/>
          <w:i w:val="false"/>
          <w:iCs w:val="false"/>
          <w:color w:val="000000"/>
          <w:sz w:val="24"/>
          <w:szCs w:val="24"/>
        </w:rPr>
        <w:t xml:space="preserve">The following items were identified as open at the internal audit or in MediSync's own Stage 1 readiness assessment. The lead auditor confirms they are resolved at Stage 1 date.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200"/>
        <w:gridCol w:w="52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 at Stage 1</w:t>
            </w:r>
          </w:p>
        </w:tc>
        <w:tc>
          <w:tcPr>
            <w:tcW w:type="dxa" w:w="5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Confirmation</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(A5.8 evidence gap)</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RESOLVED</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A5.8 Architecture Review Record found at /Phase 5 — Operation/ISMS-OPS-002/A5.8_Architecture_Review_Record_v1_0. Retrieved independently. OPS-002 guidance note updated with retrieval verification step. Confirmed.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 (AZ-500 lapse)</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RESOLVED</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AZ-500 examination passed 28 January 2027. Certificate Register Tab 3 restructured with Renewal Owner, Action Due, and Renewal Status columns. 90-day calendar reminder mechanism documented. Confirmed.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 (unapproved change)</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RESOLVED</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CHG-015 retrospective change record confirmed in OPS-010 with baseline compliance note and CISO retrospective approval. Sentinel alert confirmed closed with CHG-015 reference. OPS-001 D-02.2 callout confirmed added. IT Operations briefing attendance record present.</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OBS-003 (MedLink Gulf report)</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RESOLVED</w:t>
            </w:r>
          </w:p>
        </w:tc>
        <w:tc>
          <w:tcPr>
            <w:tcW w:type="dxa" w:w="5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assessment report issued 10 January 2027. ISMS-OPS-004 Supplier Register updated same day. Confirmed at opening meeting and verified in GRC Repository.</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systemic improvement (OPS-002 retrieval step)</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RESOLVED</w:t>
            </w:r>
          </w:p>
        </w:tc>
        <w:tc>
          <w:tcPr>
            <w:tcW w:type="dxa" w:w="5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OPS-002 Tab 1 guidance note updated with retrieval verification instruction. Confirmed.</w:t>
            </w:r>
          </w:p>
        </w:tc>
      </w:tr>
    </w:tbl>
    <w:p>
      <w:pPr>
        <w:pStyle w:val="Heading1"/>
        <w:spacing w:after="100" w:before="280"/>
      </w:pPr>
      <w:r>
        <w:rPr>
          <w:rFonts w:ascii="Aptos" w:cs="Aptos" w:eastAsia="Aptos" w:hAnsi="Aptos"/>
          <w:b/>
          <w:bCs/>
          <w:i w:val="false"/>
          <w:iCs w:val="false"/>
          <w:color w:val="000000"/>
          <w:sz w:val="34"/>
          <w:szCs w:val="34"/>
        </w:rPr>
        <w:t xml:space="preserve">6. Stage 2 Readiness Criteria Assessment</w:t>
      </w:r>
    </w:p>
    <w:p>
      <w:pPr>
        <w:spacing w:after="120" w:before="0"/>
        <w:jc w:val="left"/>
      </w:pPr>
      <w:r>
        <w:rPr>
          <w:rFonts w:ascii="Aptos" w:cs="Aptos" w:eastAsia="Aptos" w:hAnsi="Aptos"/>
          <w:b w:val="false"/>
          <w:bCs w:val="false"/>
          <w:i w:val="false"/>
          <w:iCs w:val="false"/>
          <w:color w:val="000000"/>
          <w:sz w:val="24"/>
          <w:szCs w:val="24"/>
        </w:rPr>
        <w:t xml:space="preserve">The following table assesses MediSync against the Stage 2 readiness criteria defined in ISMS-ST1-002 (Stage 1 Audit Plan) Section 7.</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4200"/>
        <w:gridCol w:w="42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Criteria type</w:t>
            </w:r>
          </w:p>
        </w:tc>
        <w:tc>
          <w:tcPr>
            <w:tcW w:type="dxa" w:w="4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Criterion</w:t>
            </w:r>
          </w:p>
        </w:tc>
        <w:tc>
          <w:tcPr>
            <w:tcW w:type="dxa" w:w="4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1 verdict</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defined, documented, and appropriate.</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confirmed (ISMS-INI-011)</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completed; all risks have treatment plans.</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21 risks, treatment plans current</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complete — all 93 Annex A controls addressed with justification.</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88 FI, 0 NI, 3 IP (with timelines)</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by independent qualified auditor.</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external IRCA auditor, full scope</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conducted; all Clause 9.3.2 inputs addressed.</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December 2026, CEO-chaired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major nonconformities at internal audit.</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0 major NCRs; 3 minor all resolved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MANDATORY</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is operational — controls implemented, not just documented.</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GRC evidence confirmed retrievable; corrective actions confirmed operational</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CONDITIONAL</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corrective action plans documented.</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all 3 CAs documented in IMP-002</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CONDITIONAL</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corrective actions completed before Stage 2.</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 — all 3 completed by 28 January 2027, before Stage 1</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CONDITIONAL</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completed before Stage 2.</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 — S2-C001: test scheduled 17–21 Feb 2027; results to be shared before Stage 2 scheduled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CONDITIONAL</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IP SoA controls completed before Stage 2.</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PARTIALLY OPEN — A5.36 target April 2027; A5.29 and A5.31 have documented timelines</w:t>
            </w:r>
          </w:p>
        </w:tc>
      </w:tr>
    </w:tbl>
    <w:p>
      <w:pPr>
        <w:pStyle w:val="Heading1"/>
        <w:spacing w:after="100" w:before="280"/>
      </w:pPr>
      <w:r>
        <w:rPr>
          <w:rFonts w:ascii="Aptos" w:cs="Aptos" w:eastAsia="Aptos" w:hAnsi="Aptos"/>
          <w:b/>
          <w:bCs/>
          <w:i w:val="false"/>
          <w:iCs w:val="false"/>
          <w:color w:val="000000"/>
          <w:sz w:val="34"/>
          <w:szCs w:val="34"/>
        </w:rPr>
        <w:t xml:space="preserve">7. Stage 2 Readiness Recommendation</w:t>
      </w:r>
    </w:p>
    <w:p>
      <w:pPr>
        <w:pBdr>
          <w:top w:val="thick" w:color="1F3864" w:sz="12"/>
          <w:bottom w:val="thick" w:color="1F3864" w:sz="12"/>
          <w:left w:val="thick" w:color="1F3864" w:sz="12"/>
          <w:right w:val="thick" w:color="1F3864" w:sz="12"/>
        </w:pBdr>
        <w:shd w:fill="DDEBF7" w:color="auto" w:val="clear"/>
        <w:spacing w:after="60" w:before="60"/>
        <w:ind w:left="240" w:right="240"/>
      </w:pPr>
      <w:r>
        <w:rPr>
          <w:rFonts w:ascii="Aptos" w:cs="Aptos" w:eastAsia="Aptos" w:hAnsi="Aptos"/>
          <w:b/>
          <w:bCs/>
          <w:i w:val="false"/>
          <w:iCs w:val="false"/>
          <w:color w:val="1F3864"/>
          <w:sz w:val="26"/>
          <w:szCs w:val="26"/>
        </w:rPr>
        <w:t xml:space="preserve">RECOMMENDATION: PROCEED TO STAGE 2 — subject to S2-C001 (penetration test results shared before Stage 2 is scheduled) and S2-C002 (A6.3 OPS-002 evidence document created before Stage 2 commences).</w:t>
      </w:r>
    </w:p>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val="false"/>
          <w:bCs w:val="false"/>
          <w:i w:val="false"/>
          <w:iCs w:val="false"/>
          <w:color w:val="000000"/>
          <w:sz w:val="24"/>
          <w:szCs w:val="24"/>
        </w:rPr>
        <w:t xml:space="preserve">The lead auditor recommends that Stage 2 proceed subject to the two conditions stated above. Both conditions are minor in nature and are expected to be resolved well within the proposed Stage 2 timeline. The ISMS documentation is of a standard that justifies Stage 2 audit confidence.</w:t>
      </w:r>
    </w:p>
    <w:p>
      <w:pPr>
        <w:spacing w:after="120" w:before="60"/>
        <w:jc w:val="left"/>
      </w:pPr>
      <w:r>
        <w:rPr>
          <w:rFonts w:ascii="Aptos" w:cs="Aptos" w:eastAsia="Aptos" w:hAnsi="Aptos"/>
          <w:b w:val="false"/>
          <w:bCs w:val="false"/>
          <w:i w:val="false"/>
          <w:iCs w:val="false"/>
          <w:color w:val="000000"/>
          <w:sz w:val="24"/>
          <w:szCs w:val="24"/>
        </w:rPr>
        <w:t xml:space="preserve">The lead auditor recommends the following Stage 2 approach:</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Stage 2 element</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Lead auditor recommendation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target dates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March–April 2027. The lead auditor notes that the April 2027 certification milestone is achievable. Preferred Stage 2 commencement: 17–21 March 2027 (pending MediSync confirmation of penetration test results and S2-C001 resolution).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format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3-day on-site audit: Days 1–2 at Bengaluru HQ (primary location for GRC, CISO, SOC, Cloud Infrastructure, HR, Legal). Day 3: Pune engineering (video acceptable if travel is not feasible). Dubai: video for Stage 2 as the legal entity is a sales and administrative office.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focus areas — priority 1</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Live control demonstrations: S3 Object Lock settings, AWS KMS auto-rotation, Sentinel alert rule list, GitHub branch protection, Entra ID PIM activation log. These are the controls confirmed at the internal audit (ISMS-PEV-005 positive findings) that Stage 2 will verify independently.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focus areas — priority 2</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review: confirm Q4 2026 access review (REV-002) is complete — the internal audit report noted the review was scheduled. Penetration test findings and remediation status. Phishing simulation second results (February 2027 — expected before Stage 2).</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focus areas — priority 3</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Knowledge checks: SOC Manager (CERT-In clock trigger — confirmed at internal audit POS-002; Stage 2 will independently confirm), IT Operations Lead (emergency change process — NCR-003 corrective action), Head of HR (certificate renewal trigger process — NCR-002 corrective action).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Corrective action effectiveness</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Stage 2 audit will assess effectiveness of all three NCR corrective actions — not just that the actions were completed, but that the root causes have been addressed and recurrence is unlikely.</w:t>
            </w:r>
          </w:p>
        </w:tc>
      </w:tr>
    </w:tbl>
    <w:p>
      <w:pPr>
        <w:pStyle w:val="Heading1"/>
        <w:spacing w:after="100" w:before="280"/>
      </w:pPr>
      <w:r>
        <w:rPr>
          <w:rFonts w:ascii="Aptos" w:cs="Aptos" w:eastAsia="Aptos" w:hAnsi="Aptos"/>
          <w:b/>
          <w:bCs/>
          <w:i w:val="false"/>
          <w:iCs w:val="false"/>
          <w:color w:val="000000"/>
          <w:sz w:val="34"/>
          <w:szCs w:val="34"/>
        </w:rPr>
        <w:t xml:space="preserve">8. Lead Auditor Declaration</w:t>
      </w:r>
    </w:p>
    <w:p>
      <w:pPr>
        <w:spacing w:after="120" w:before="0"/>
        <w:jc w:val="left"/>
      </w:pPr>
      <w:r>
        <w:rPr>
          <w:rFonts w:ascii="Aptos" w:cs="Aptos" w:eastAsia="Aptos" w:hAnsi="Aptos"/>
          <w:b w:val="false"/>
          <w:bCs w:val="false"/>
          <w:i w:val="false"/>
          <w:iCs w:val="false"/>
          <w:color w:val="000000"/>
          <w:sz w:val="24"/>
          <w:szCs w:val="24"/>
        </w:rPr>
        <w:t xml:space="preserve">This report presents the lead auditor's independent assessment of MediSync Technologies Pvt. Ltd.'s ISMS documentation following the Stage 1 review conducted on 10–11 February 2027. The lead auditor confirms: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No conflict of interest exists between the lead auditor or technical expert and MediSync.</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review was conducted in accordance with ISO 19011:2018 and ISO/IEC 27006-1:2022.</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documents reviewed were treated as confidential. No MediSync documentation has been shared with any third party.</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This report reflects the lead auditor's professional judgement based on documentary evidence reviewed. MediSync may respond to factual inaccuracies within 5 business days of this report date.</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Stage 2 readiness recommendation is based on the documentation reviewed. Stage 2 will independently verify whether the controls described in the documentation are operating in practice.</w:t>
      </w:r>
    </w:p>
    <w:p>
      <w:pPr>
        <w:spacing w:after="60" w:before="12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name]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Auditor — [Certification Body]</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February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name]</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Expert — Healthcare IT</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February 2027</w:t>
            </w:r>
          </w:p>
        </w:tc>
      </w:tr>
    </w:tbl>
    <w:p>
      <w:pPr>
        <w:spacing w:after="120" w:before="80"/>
        <w:jc w:val="left"/>
      </w:pPr>
      <w:r>
        <w:rPr>
          <w:rFonts w:ascii="Aptos" w:cs="Aptos" w:eastAsia="Aptos" w:hAnsi="Aptos"/>
          <w:b w:val="false"/>
          <w:bCs w:val="false"/>
          <w:i/>
          <w:iCs/>
          <w:color w:val="595959"/>
          <w:sz w:val="24"/>
          <w:szCs w:val="24"/>
        </w:rPr>
        <w:t xml:space="preserve">MediSync factual accuracy response, if any, to be received by 25 February 2027. The lead auditor will confirm whether any factual responses affect the findings in this report.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[Certification Body]  ·  MediSync Technologies Pvt. Ltd.  ·  Confidential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ISMS-ST1-005  |  Stage 1 Audit Findings Report  |  MediSync Technologies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rFonts w:ascii="Aptos" w:cs="Aptos" w:eastAsia="Aptos" w:hAnsi="Aptos"/>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2026-09-07T04:37:40.959Z</dcterms:created>
  <dcterms:modified xsi:type="dcterms:W3CDTF">2026-09-07T04:37:40.969Z</dcterms:modified>
</cp:coreProperties>
</file>

<file path=docProps/custom.xml><?xml version="1.0" encoding="utf-8"?>
<Properties xmlns="http://schemas.openxmlformats.org/officeDocument/2006/custom-properties" xmlns:vt="http://schemas.openxmlformats.org/officeDocument/2006/docPropsVTypes"/>
</file>