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INFORMATION SECURITY POLICY</w:t>
      </w:r>
    </w:p>
    <w:p>
      <w:pPr>
        <w:spacing w:after="280"/>
        <w:jc w:val="center"/>
      </w:pPr>
      <w:r>
        <w:rPr>
          <w:rFonts w:ascii="Aptos" w:cs="Aptos" w:eastAsia="Aptos" w:hAnsi="Aptos"/>
          <w:b w:val="false"/>
          <w:bCs w:val="false"/>
          <w:i/>
          <w:iCs/>
          <w:color w:val="000000"/>
          <w:sz w:val="24"/>
          <w:szCs w:val="24"/>
        </w:rPr>
        <w:t xml:space="preserve">ISMS-LDR-001  |  Version 1.0  |  April 2026</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Security Policy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5.2 — Policy; Annex A 5.1 — Policies for Information Security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2 — Leadership (Clause 5), Item 1 of 9</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In Force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 Published to All Staff</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Policy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 Chief Information Security Officer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 — Chief Executive Officer</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April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April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Cycle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Next review: April 2027. Policy may be reviewed earlier if the organisation's risk profile changes materially.</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Distribution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staff — published on MediSync intranet. Provided to enterprise customers and the certification body on request.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Supersedes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prior ad-hoc information security policies authored separately by individual departments.</w:t>
            </w:r>
          </w:p>
        </w:tc>
      </w:tr>
    </w:tbl>
    <w:p>
      <w:pPr>
        <w:spacing w:after="200" w:before="140"/>
      </w:pPr>
      <w:r>
        <w:rPr>
          <w:rFonts w:ascii="Aptos" w:cs="Aptos" w:eastAsia="Aptos" w:hAnsi="Aptos"/>
          <w:b w:val="false"/>
          <w:bCs w:val="false"/>
          <w:i/>
          <w:iCs/>
          <w:color w:val="000000"/>
          <w:sz w:val="24"/>
          <w:szCs w:val="24"/>
        </w:rPr>
        <w:t xml:space="preserve">This policy is in force from its effective date. Every MediSync employee, contractor, and third-party user of MediSync systems is required to read and comply with it. Compliance is not optional — failure to comply may result in disciplinary action.</w:t>
      </w:r>
    </w:p>
    <w:p>
      <w:pPr>
        <w:pStyle w:val="Heading1"/>
        <w:spacing w:after="120" w:before="300"/>
      </w:pPr>
      <w:r>
        <w:rPr>
          <w:rFonts w:ascii="Aptos" w:cs="Aptos" w:eastAsia="Aptos" w:hAnsi="Aptos"/>
          <w:b/>
          <w:bCs/>
          <w:i w:val="false"/>
          <w:iCs w:val="false"/>
          <w:color w:val="000000"/>
          <w:sz w:val="36"/>
          <w:szCs w:val="36"/>
        </w:rPr>
        <w:t xml:space="preserve">Document Control</w:t>
      </w:r>
    </w:p>
    <w:p>
      <w:pPr>
        <w:pStyle w:val="Heading2"/>
        <w:spacing w:after="100" w:before="200"/>
      </w:pPr>
      <w:r>
        <w:rPr>
          <w:rFonts w:ascii="Aptos" w:cs="Aptos" w:eastAsia="Aptos" w:hAnsi="Aptos"/>
          <w:b/>
          <w:bCs/>
          <w:i w:val="false"/>
          <w:iCs w:val="false"/>
          <w:color w:val="000000"/>
          <w:sz w:val="32"/>
          <w:szCs w:val="32"/>
        </w:rPr>
        <w:t xml:space="preserve">1.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300"/>
        <w:gridCol w:w="1700"/>
        <w:gridCol w:w="4580"/>
        <w:gridCol w:w="160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5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Mar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Covers all in-scope domains for the MediSync ISMS.</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0.2</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Mar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4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controls section strengthened. Shared-platform architecture risk addressed explicitly.</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0.3</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Mar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4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obligations section reviewed by Omar Al Mansoori. UAE PDPL and DPDP Act references confirmed.</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0.4</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Mar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4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Final review. Language simplified — reduced from 12 to 8 core sections.</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Apr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4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 CEO. Published to all staff. Supersedes all prior department-level policies.</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 (CEO)</w:t>
            </w:r>
          </w:p>
        </w:tc>
      </w:tr>
    </w:tbl>
    <w:p>
      <w:pPr>
        <w:pStyle w:val="Heading2"/>
        <w:spacing w:after="100" w:before="200"/>
      </w:pPr>
      <w:r>
        <w:rPr>
          <w:rFonts w:ascii="Aptos" w:cs="Aptos" w:eastAsia="Aptos" w:hAnsi="Aptos"/>
          <w:b/>
          <w:bCs/>
          <w:i w:val="false"/>
          <w:iCs w:val="false"/>
          <w:color w:val="000000"/>
          <w:sz w:val="32"/>
          <w:szCs w:val="32"/>
        </w:rPr>
        <w:t xml:space="preserve">2. Related Documents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3000"/>
        <w:gridCol w:w="5180"/>
      </w:tblGrid>
      <w:tr>
        <w:trPr>
          <w:cantSplit/>
          <w:tblHeader/>
        </w:trPr>
        <w:tc>
          <w:tcPr>
            <w:tcW w:type="dxa" w:w="1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Reference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51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Relationship</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ISMS-LDR-002</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 Objectives Document</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measurable objectives this policy commits the organisation to pursuing.</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ISMS-LDR-005</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Roles, Responsibilities &amp; Authorities Register</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Names the people behind the roles in Section 6.</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ISMS-INI-010</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&amp; Regulatory Register</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 detail on the legal obligations this policy reflects.</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ISMS-INI-011</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Scope Document</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Defines the boundary this policy applies within.</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ISMS-PLN-006</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Statement of Applicability</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Annex A control selection derived from this policy's commitments.</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ISMS-OPS-001</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Operational Procedures</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procedural detail that puts this policy into practice. If this policy sets the rule, OPS-001 explains how to follow it.</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ISMS-SUP-005</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Awareness Programme</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programme that ensures all staff understand this policy.</w:t>
            </w:r>
          </w:p>
        </w:tc>
      </w:tr>
    </w:tbl>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1. Policy Statement</w:t>
      </w:r>
    </w:p>
    <w:tbl>
      <w:tblPr>
        <w:tblW w:type="dxa" w:w="10080"/>
        <w:tblBorders>
          <w:top w:val="single" w:color="2E75B6" w:sz="8"/>
          <w:left w:val="single" w:color="2E75B6" w:sz="8"/>
          <w:bottom w:val="single" w:color="2E75B6" w:sz="8"/>
          <w:right w:val="single" w:color="2E75B6" w:sz="8"/>
          <w:insideH w:val="single" w:color="auto" w:sz="4"/>
          <w:insideV w:val="single" w:color="auto" w:sz="4"/>
        </w:tblBorders>
      </w:tblPr>
      <w:tblGrid>
        <w:gridCol w:w="10080"/>
      </w:tblGrid>
      <w:tr>
        <w:tc>
          <w:tcPr>
            <w:tcW w:type="dxa" w:w="10080"/>
            <w:shd w:fill="DDEBF7" w:color="auto" w:val="clear"/>
            <w:tcMar>
              <w:top w:type="dxa" w:w="180"/>
              <w:left w:type="dxa" w:w="220"/>
              <w:bottom w:type="dxa" w:w="180"/>
              <w:right w:type="dxa" w:w="220"/>
            </w:tcMar>
          </w:tcPr>
          <w:p>
            <w:pPr>
              <w:spacing w:after="100"/>
            </w:pPr>
            <w:r>
              <w:rPr>
                <w:rFonts w:ascii="Aptos" w:cs="Aptos" w:eastAsia="Aptos" w:hAnsi="Aptos"/>
                <w:b/>
                <w:bCs/>
                <w:i w:val="false"/>
                <w:iCs w:val="false"/>
                <w:color w:val="000000"/>
                <w:sz w:val="24"/>
                <w:szCs w:val="24"/>
              </w:rPr>
              <w:t xml:space="preserve">MediSync Technologies Pvt. Ltd. is committed to protecting the confidentiality, integrity, and availability of all information it holds — including patient health records, physician credentials, insurance claim data, and customer operational data — from unauthorised access, loss, or misuse.</w:t>
            </w:r>
          </w:p>
          <w:p>
            <w:pPr>
              <w:spacing w:after="100"/>
            </w:pPr>
            <w:r>
              <w:rPr>
                <w:rFonts w:ascii="Aptos" w:cs="Aptos" w:eastAsia="Aptos" w:hAnsi="Aptos"/>
                <w:b w:val="false"/>
                <w:bCs w:val="false"/>
                <w:i w:val="false"/>
                <w:iCs w:val="false"/>
                <w:color w:val="000000"/>
                <w:sz w:val="24"/>
                <w:szCs w:val="24"/>
              </w:rPr>
              <w:t xml:space="preserve">This commitment applies across all four of our office locations, both cloud environments (AWS ap-south-1 for India, Azure UAE North for UAE), all eight products and the shared platform layer, and all staff, contractors, and third parties who access our systems.</w:t>
            </w:r>
          </w:p>
          <w:p>
            <w:pPr>
              <w:spacing w:after="0"/>
            </w:pPr>
            <w:r>
              <w:rPr>
                <w:rFonts w:ascii="Aptos" w:cs="Aptos" w:eastAsia="Aptos" w:hAnsi="Aptos"/>
                <w:b w:val="false"/>
                <w:bCs w:val="false"/>
                <w:i w:val="false"/>
                <w:iCs w:val="false"/>
                <w:color w:val="000000"/>
                <w:sz w:val="24"/>
                <w:szCs w:val="24"/>
              </w:rPr>
              <w:t xml:space="preserve">Information security is a business and leadership responsibility. It sits with the CEO, the CISO, department heads, and every individual who uses a MediSync system — not just with the GRC or IT team.</w:t>
            </w:r>
          </w:p>
        </w:tc>
      </w:tr>
    </w:tbl>
    <w:p>
      <w:pPr>
        <w:spacing w:after="140" w:before="120"/>
        <w:jc w:val="left"/>
      </w:pPr>
      <w:r>
        <w:rPr>
          <w:rFonts w:ascii="Aptos" w:cs="Aptos" w:eastAsia="Aptos" w:hAnsi="Aptos"/>
          <w:b w:val="false"/>
          <w:bCs w:val="false"/>
          <w:i w:val="false"/>
          <w:iCs w:val="false"/>
          <w:color w:val="000000"/>
          <w:sz w:val="24"/>
          <w:szCs w:val="24"/>
        </w:rPr>
        <w:t xml:space="preserve">This policy is the top-level document in our information security framework. It sets the rules. Our operational procedures (ISMS-OPS-001) explain how to follow them day to day.</w:t>
      </w:r>
    </w:p>
    <w:p>
      <w:pPr>
        <w:pStyle w:val="Heading1"/>
        <w:spacing w:after="120" w:before="300"/>
      </w:pPr>
      <w:r>
        <w:rPr>
          <w:rFonts w:ascii="Aptos" w:cs="Aptos" w:eastAsia="Aptos" w:hAnsi="Aptos"/>
          <w:b/>
          <w:bCs/>
          <w:i w:val="false"/>
          <w:iCs w:val="false"/>
          <w:color w:val="000000"/>
          <w:sz w:val="36"/>
          <w:szCs w:val="36"/>
        </w:rPr>
        <w:t xml:space="preserve">2. Purpose and Scope</w:t>
      </w:r>
    </w:p>
    <w:p>
      <w:pPr>
        <w:pStyle w:val="Heading2"/>
        <w:spacing w:after="100" w:before="200"/>
      </w:pPr>
      <w:r>
        <w:rPr>
          <w:rFonts w:ascii="Aptos" w:cs="Aptos" w:eastAsia="Aptos" w:hAnsi="Aptos"/>
          <w:b/>
          <w:bCs/>
          <w:i w:val="false"/>
          <w:iCs w:val="false"/>
          <w:color w:val="000000"/>
          <w:sz w:val="32"/>
          <w:szCs w:val="32"/>
        </w:rPr>
        <w:t xml:space="preserve">2.1 Purpose</w:t>
      </w:r>
    </w:p>
    <w:p>
      <w:pPr>
        <w:spacing w:after="140" w:before="0"/>
        <w:jc w:val="left"/>
      </w:pPr>
      <w:r>
        <w:rPr>
          <w:rFonts w:ascii="Aptos" w:cs="Aptos" w:eastAsia="Aptos" w:hAnsi="Aptos"/>
          <w:b w:val="false"/>
          <w:bCs w:val="false"/>
          <w:i w:val="false"/>
          <w:iCs w:val="false"/>
          <w:color w:val="000000"/>
          <w:sz w:val="24"/>
          <w:szCs w:val="24"/>
        </w:rPr>
        <w:t xml:space="preserve">This policy establishes MediSync's approach to information security and reflects our obligations under ISO/IEC 27001:2022, the Digital Personal Data Protection Act 2023 (India), the UAE Personal Data Protection Law (Federal Decree-Law No. 45 of 2021), the Information Technology Act 2000, CERT-In Incident Reporting Rules 2022, and our enterprise customer contracts.</w:t>
      </w:r>
    </w:p>
    <w:p>
      <w:pPr>
        <w:spacing w:after="140" w:before="0"/>
        <w:jc w:val="left"/>
      </w:pPr>
      <w:r>
        <w:rPr>
          <w:rFonts w:ascii="Aptos" w:cs="Aptos" w:eastAsia="Aptos" w:hAnsi="Aptos"/>
          <w:b w:val="false"/>
          <w:bCs w:val="false"/>
          <w:i w:val="false"/>
          <w:iCs w:val="false"/>
          <w:color w:val="000000"/>
          <w:sz w:val="24"/>
          <w:szCs w:val="24"/>
        </w:rPr>
        <w:t xml:space="preserve">It replaces all previous ad-hoc information security policies written by individual departments. Where any older document conflicts with this policy, this one takes precedence.</w:t>
      </w:r>
    </w:p>
    <w:p>
      <w:pPr>
        <w:pStyle w:val="Heading2"/>
        <w:spacing w:after="100" w:before="200"/>
      </w:pPr>
      <w:r>
        <w:rPr>
          <w:rFonts w:ascii="Aptos" w:cs="Aptos" w:eastAsia="Aptos" w:hAnsi="Aptos"/>
          <w:b/>
          <w:bCs/>
          <w:i w:val="false"/>
          <w:iCs w:val="false"/>
          <w:color w:val="000000"/>
          <w:sz w:val="32"/>
          <w:szCs w:val="32"/>
        </w:rPr>
        <w:t xml:space="preserve">2.2 Scope</w:t>
      </w:r>
    </w:p>
    <w:p>
      <w:pPr>
        <w:spacing w:after="140" w:before="0"/>
        <w:jc w:val="left"/>
      </w:pPr>
      <w:r>
        <w:rPr>
          <w:rFonts w:ascii="Aptos" w:cs="Aptos" w:eastAsia="Aptos" w:hAnsi="Aptos"/>
          <w:b w:val="false"/>
          <w:bCs w:val="false"/>
          <w:i w:val="false"/>
          <w:iCs w:val="false"/>
          <w:color w:val="000000"/>
          <w:sz w:val="24"/>
          <w:szCs w:val="24"/>
        </w:rPr>
        <w:t xml:space="preserve">This policy applies to:</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All MediSync employees, permanent or temporary, across all four locations.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All contractors, consultants, and third-party staff who access MediSync systems or data.</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All information processed, stored, or transmitted by MediSync — regardless of format (digital or physical) and regardless of location (office, home, cloud, or transit).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All eight MediSync products, the shared platform layer, and both cloud hosting environments.</w:t>
      </w:r>
    </w:p>
    <w:p>
      <w:pPr>
        <w:spacing w:after="140" w:before="60"/>
        <w:jc w:val="left"/>
      </w:pPr>
      <w:r>
        <w:rPr>
          <w:rFonts w:ascii="Aptos" w:cs="Aptos" w:eastAsia="Aptos" w:hAnsi="Aptos"/>
          <w:b w:val="false"/>
          <w:bCs w:val="false"/>
          <w:i w:val="false"/>
          <w:iCs w:val="false"/>
          <w:color w:val="000000"/>
          <w:sz w:val="24"/>
          <w:szCs w:val="24"/>
        </w:rPr>
        <w:t xml:space="preserve">The ISMS scope boundary is formally defined in ISMS-INI-011. If you're not sure whether something falls within scope, ask the ISMS Manager.</w:t>
      </w:r>
    </w:p>
    <w:p>
      <w:pPr>
        <w:pStyle w:val="Heading1"/>
        <w:spacing w:after="120" w:before="300"/>
      </w:pPr>
      <w:r>
        <w:rPr>
          <w:rFonts w:ascii="Aptos" w:cs="Aptos" w:eastAsia="Aptos" w:hAnsi="Aptos"/>
          <w:b/>
          <w:bCs/>
          <w:i w:val="false"/>
          <w:iCs w:val="false"/>
          <w:color w:val="000000"/>
          <w:sz w:val="36"/>
          <w:szCs w:val="36"/>
        </w:rPr>
        <w:t xml:space="preserve">3. Information Security Objectives</w:t>
      </w:r>
    </w:p>
    <w:p>
      <w:pPr>
        <w:spacing w:after="140" w:before="0"/>
        <w:jc w:val="left"/>
      </w:pPr>
      <w:r>
        <w:rPr>
          <w:rFonts w:ascii="Aptos" w:cs="Aptos" w:eastAsia="Aptos" w:hAnsi="Aptos"/>
          <w:b w:val="false"/>
          <w:bCs w:val="false"/>
          <w:i w:val="false"/>
          <w:iCs w:val="false"/>
          <w:color w:val="000000"/>
          <w:sz w:val="24"/>
          <w:szCs w:val="24"/>
        </w:rPr>
        <w:t xml:space="preserve">These are the four top-level outcomes this policy is designed to achieve. Measurable targets for each are set annually in ISMS-LDR-002 and reported to the Steering Committee quarterly.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Objective</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What it means for MediSync</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Protect patient and customer data</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patient health records, physician credentials, and clinical data we hold on behalf of our customers are not compromised, leaked, or altered without authorisation. This is our primary obligation — commercially, legally, and ethically.</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 our legal and contractual obligations</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We comply with the DPDP Act, UAE PDPL, CERT-In Rules, MoHFW standards, and all enterprise security schedules. We do not track obligations per-deal — they are managed centrally and reviewed at each management review cycle.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Maintain operational availability</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Our platforms are available to the hospitals, clinics, and physicians who depend on them. Disruptions are minimised, and when they happen, we recover within the RTO/RPO targets set in our BCDR plan.</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Improve our security posture continuously</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We identify gaps, fix them, measure the outcome, and do it again. Certification is not the end state — it is a milestone. The ISMS continues after April 2027.</w:t>
            </w:r>
          </w:p>
        </w:tc>
      </w:tr>
    </w:tbl>
    <w:p>
      <w:pPr>
        <w:pStyle w:val="Heading1"/>
        <w:spacing w:after="120" w:before="300"/>
      </w:pPr>
      <w:r>
        <w:rPr>
          <w:rFonts w:ascii="Aptos" w:cs="Aptos" w:eastAsia="Aptos" w:hAnsi="Aptos"/>
          <w:b/>
          <w:bCs/>
          <w:i w:val="false"/>
          <w:iCs w:val="false"/>
          <w:color w:val="000000"/>
          <w:sz w:val="36"/>
          <w:szCs w:val="36"/>
        </w:rPr>
        <w:t xml:space="preserve">4. Data Classification</w:t>
      </w:r>
    </w:p>
    <w:p>
      <w:pPr>
        <w:spacing w:after="140" w:before="0"/>
        <w:jc w:val="left"/>
      </w:pPr>
      <w:r>
        <w:rPr>
          <w:rFonts w:ascii="Aptos" w:cs="Aptos" w:eastAsia="Aptos" w:hAnsi="Aptos"/>
          <w:b w:val="false"/>
          <w:bCs w:val="false"/>
          <w:i w:val="false"/>
          <w:iCs w:val="false"/>
          <w:color w:val="000000"/>
          <w:sz w:val="24"/>
          <w:szCs w:val="24"/>
        </w:rPr>
        <w:t xml:space="preserve">Every piece of information MediSync handles must be classified. Classification determines how it is stored, transmitted, shared, and eventually disposed of. If you're not sure what classification applies to something, treat it as Confidential until you've checked.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3400"/>
        <w:gridCol w:w="4880"/>
      </w:tblGrid>
      <w:tr>
        <w:trPr>
          <w:cantSplit/>
          <w:tblHeader/>
        </w:trPr>
        <w:tc>
          <w:tcPr>
            <w:tcW w:type="dxa" w:w="1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Classification</w:t>
            </w:r>
          </w:p>
        </w:tc>
        <w:tc>
          <w:tcPr>
            <w:tcW w:type="dxa" w:w="3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What it covers</w:t>
            </w:r>
          </w:p>
        </w:tc>
        <w:tc>
          <w:tcPr>
            <w:tcW w:type="dxa" w:w="4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Handling rules (brief — full detail in ISMS-OPS-001)</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Restricted</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Patient health records, diagnoses, prescriptions, lab results, consultation notes, physician and patient credentials, insurance claim data, integration data in transit</w:t>
            </w:r>
          </w:p>
        </w:tc>
        <w:tc>
          <w:tcPr>
            <w:tcW w:type="dxa" w:w="4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Encrypted at rest and in transit at all times. Access limited to those with a documented need. No sharing outside the organisation without written authorisation from the CISO. Breach requires immediate escalation.</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SIEM and system logs, source code, CI/CD configuration, business contracts, financial records, HR data, customer commercial information</w:t>
            </w:r>
          </w:p>
        </w:tc>
        <w:tc>
          <w:tcPr>
            <w:tcW w:type="dxa" w:w="4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Encrypted in transit. Access controlled by role. Shared internally on a need-to-know basis. External sharing requires CISO or Head of Legal approval.</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communications, meeting minutes, process documents, this policy</w:t>
            </w:r>
          </w:p>
        </w:tc>
        <w:tc>
          <w:tcPr>
            <w:tcW w:type="dxa" w:w="4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encryption required for storage. Not shared outside the organisation without approval. Reasonable care in handling.</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Public</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Marketing website content, product datasheets, press releases</w:t>
            </w:r>
          </w:p>
        </w:tc>
        <w:tc>
          <w:tcPr>
            <w:tcW w:type="dxa" w:w="4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special controls. Review before publication to ensure nothing classified has been included by mistake.</w:t>
            </w:r>
          </w:p>
        </w:tc>
      </w:tr>
    </w:tbl>
    <w:p>
      <w:pPr>
        <w:pStyle w:val="Heading1"/>
        <w:spacing w:after="120" w:before="300"/>
      </w:pPr>
      <w:r>
        <w:rPr>
          <w:rFonts w:ascii="Aptos" w:cs="Aptos" w:eastAsia="Aptos" w:hAnsi="Aptos"/>
          <w:b/>
          <w:bCs/>
          <w:i w:val="false"/>
          <w:iCs w:val="false"/>
          <w:color w:val="000000"/>
          <w:sz w:val="36"/>
          <w:szCs w:val="36"/>
        </w:rPr>
        <w:t xml:space="preserve">5. Core Security Rules</w:t>
      </w:r>
    </w:p>
    <w:p>
      <w:pPr>
        <w:spacing w:after="140" w:before="0"/>
        <w:jc w:val="left"/>
      </w:pPr>
      <w:r>
        <w:rPr>
          <w:rFonts w:ascii="Aptos" w:cs="Aptos" w:eastAsia="Aptos" w:hAnsi="Aptos"/>
          <w:b w:val="false"/>
          <w:bCs w:val="false"/>
          <w:i w:val="false"/>
          <w:iCs w:val="false"/>
          <w:color w:val="000000"/>
          <w:sz w:val="24"/>
          <w:szCs w:val="24"/>
        </w:rPr>
        <w:t xml:space="preserve">These are the non-negotiable rules that apply to everyone. They are not guidelines or recommendations — they are requirements. Detailed procedures are in ISMS-OPS-001.</w:t>
      </w:r>
    </w:p>
    <w:p>
      <w:pPr>
        <w:pStyle w:val="Heading2"/>
        <w:spacing w:after="100" w:before="200"/>
      </w:pPr>
      <w:r>
        <w:rPr>
          <w:rFonts w:ascii="Aptos" w:cs="Aptos" w:eastAsia="Aptos" w:hAnsi="Aptos"/>
          <w:b/>
          <w:bCs/>
          <w:i w:val="false"/>
          <w:iCs w:val="false"/>
          <w:color w:val="000000"/>
          <w:sz w:val="32"/>
          <w:szCs w:val="32"/>
        </w:rPr>
        <w:t xml:space="preserve">5.1 Access control</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You access only the systems and data you need for your job. Not what's convenient — what you need.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Multi-factor authentication (MFA) is mandatory for all accounts — internal, administrative, and customer-facing. No exceptions.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You do not share passwords, access tokens, or API keys with anyone, including colleagues.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When someone leaves MediSync or changes role, their access is removed or changed on the same day. If you manage a team, you are responsible for raising a ticket with IT Operations when this happens.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Access to Restricted-classified data requires explicit approval from the data owner, documented in the access log.</w:t>
      </w:r>
    </w:p>
    <w:p>
      <w:pPr>
        <w:pStyle w:val="Heading2"/>
        <w:spacing w:after="100" w:before="200"/>
      </w:pPr>
      <w:r>
        <w:rPr>
          <w:rFonts w:ascii="Aptos" w:cs="Aptos" w:eastAsia="Aptos" w:hAnsi="Aptos"/>
          <w:b/>
          <w:bCs/>
          <w:i w:val="false"/>
          <w:iCs w:val="false"/>
          <w:color w:val="000000"/>
          <w:sz w:val="32"/>
          <w:szCs w:val="32"/>
        </w:rPr>
        <w:t xml:space="preserve">5.2 Device and endpoint security</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Only MediSync-managed and enrolled devices may connect to production systems. Personal devices are not permitted on the production network.</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CrowdStrike Falcon is installed on all managed endpoints and must not be disabled or tampered with.</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Screen locking is mandatory when stepping away from a device — maximum 5-minute idle timeout on all corporate devices.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Lost or stolen devices must be reported to IT Operations and the ISMS Manager within one hour of discovery.</w:t>
      </w:r>
    </w:p>
    <w:p>
      <w:pPr>
        <w:pStyle w:val="Heading2"/>
        <w:spacing w:after="100" w:before="200"/>
      </w:pPr>
      <w:r>
        <w:rPr>
          <w:rFonts w:ascii="Aptos" w:cs="Aptos" w:eastAsia="Aptos" w:hAnsi="Aptos"/>
          <w:b/>
          <w:bCs/>
          <w:i w:val="false"/>
          <w:iCs w:val="false"/>
          <w:color w:val="000000"/>
          <w:sz w:val="32"/>
          <w:szCs w:val="32"/>
        </w:rPr>
        <w:t xml:space="preserve">5.3 Data handling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Patient data — records, credentials, clinical data — is never sent over unencrypted channels. No patient data in email unless it is encrypted.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Test and development environments use synthetic or anonymised data. Real patient data is not used in dev or staging. No exceptions.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Data is retained only as long as its purpose requires or the law mandates, whichever is longer. Disposal is formal and documented.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Cross-border transfer of UAE patient data outside Azure UAE North and India patient data outside AWS ap-south-1 is not permitted without prior legal review and CISO approval.</w:t>
      </w:r>
    </w:p>
    <w:p>
      <w:pPr>
        <w:pStyle w:val="Heading2"/>
        <w:spacing w:after="100" w:before="200"/>
      </w:pPr>
      <w:r>
        <w:rPr>
          <w:rFonts w:ascii="Aptos" w:cs="Aptos" w:eastAsia="Aptos" w:hAnsi="Aptos"/>
          <w:b/>
          <w:bCs/>
          <w:i w:val="false"/>
          <w:iCs w:val="false"/>
          <w:color w:val="000000"/>
          <w:sz w:val="32"/>
          <w:szCs w:val="32"/>
        </w:rPr>
        <w:t xml:space="preserve">5.4 Supplier and third-party access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Third parties are granted the minimum access they need to deliver their service — nothing more. Access is revoked when the engagement ends.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Any third party who processes personal data on behalf of MediSync must have a signed Data Processing Agreement in place before access is granted.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Tier 1 vendors (those with access to sensitive data or critical systems) are formally assessed before onboarding and annually thereafter. The vendor assessment process is owned by the Head of Procurement (currently ISMS Manager as interim).</w:t>
      </w:r>
    </w:p>
    <w:p>
      <w:pPr>
        <w:pStyle w:val="Heading2"/>
        <w:spacing w:after="100" w:before="200"/>
      </w:pPr>
      <w:r>
        <w:rPr>
          <w:rFonts w:ascii="Aptos" w:cs="Aptos" w:eastAsia="Aptos" w:hAnsi="Aptos"/>
          <w:b/>
          <w:bCs/>
          <w:i w:val="false"/>
          <w:iCs w:val="false"/>
          <w:color w:val="000000"/>
          <w:sz w:val="32"/>
          <w:szCs w:val="32"/>
        </w:rPr>
        <w:t xml:space="preserve">5.5 Incident reporting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If you suspect a security incident — something that looks wrong, a phishing email, unexpected system behaviour, a device that might be compromised — report it immediately to the SOC (security@medisync.io) and your Security Champion.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Do not investigate a suspected incident on your own, do not share it with colleagues before reporting, and do not delete anything that might be evidence.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The SOC will triage and escalate. Response follows ISMS-OPS-005. External notification timelines (CERT-In: 6 hours; customer breach notification: per contract; UAE PDPL: without undue delay) are the SOC's responsibility — but only if they know about the incident.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There is no penalty for reporting something that turns out not to be an incident. There can be serious consequences for not reporting something that was.</w:t>
      </w:r>
    </w:p>
    <w:p>
      <w:pPr>
        <w:pStyle w:val="Heading2"/>
        <w:spacing w:after="100" w:before="200"/>
      </w:pPr>
      <w:r>
        <w:rPr>
          <w:rFonts w:ascii="Aptos" w:cs="Aptos" w:eastAsia="Aptos" w:hAnsi="Aptos"/>
          <w:b/>
          <w:bCs/>
          <w:i w:val="false"/>
          <w:iCs w:val="false"/>
          <w:color w:val="000000"/>
          <w:sz w:val="32"/>
          <w:szCs w:val="32"/>
        </w:rPr>
        <w:t xml:space="preserve">5.6 Physical security</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Do not let someone you do not recognise into a MediSync office or server room without confirming their identity and reason for visiting. Tailgating is a real threat.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Clean desk when you leave your workspace. Lock your screen. Do not leave physical documents containing Restricted or Confidential information on desks overnight.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Visitor access to office areas is logged. Visitors must be accompanied at all times.</w:t>
      </w:r>
    </w:p>
    <w:p>
      <w:pPr>
        <w:pStyle w:val="Heading2"/>
        <w:spacing w:after="100" w:before="200"/>
      </w:pPr>
      <w:r>
        <w:rPr>
          <w:rFonts w:ascii="Aptos" w:cs="Aptos" w:eastAsia="Aptos" w:hAnsi="Aptos"/>
          <w:b/>
          <w:bCs/>
          <w:i w:val="false"/>
          <w:iCs w:val="false"/>
          <w:color w:val="000000"/>
          <w:sz w:val="32"/>
          <w:szCs w:val="32"/>
        </w:rPr>
        <w:t xml:space="preserve">5.7 Acceptable use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MediSync systems and devices are for business use. Reasonable personal use is acceptable — using them for anything illegal, harmful, or in violation of this policy is not.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You do not install unauthorised software on MediSync devices. If you need a tool, request it through IT Operations.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Cloud storage, personal email, and messaging apps are not to be used to transfer or store MediSync business data. Use MediSync-approved channels.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You do not connect personal USB drives or external storage to MediSync managed devices.</w:t>
      </w:r>
    </w:p>
    <w:p>
      <w:pPr>
        <w:pStyle w:val="Heading2"/>
        <w:spacing w:after="100" w:before="200"/>
      </w:pPr>
      <w:r>
        <w:rPr>
          <w:rFonts w:ascii="Aptos" w:cs="Aptos" w:eastAsia="Aptos" w:hAnsi="Aptos"/>
          <w:b/>
          <w:bCs/>
          <w:i w:val="false"/>
          <w:iCs w:val="false"/>
          <w:color w:val="000000"/>
          <w:sz w:val="32"/>
          <w:szCs w:val="32"/>
        </w:rPr>
        <w:t xml:space="preserve">5.8 Security awareness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Completion of the mandatory security awareness training programme is required for all staff within 30 days of joining and annually thereafter.</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Department completion rates are reported to the Steering Committee monthly. Non-completion is followed up by your Security Champion and, if still outstanding, by your department head.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If you are not sure about something security-related, ask. The ISMS Manager (meera.iyer@medisync.io) and your Security Champion are your first contacts.</w:t>
      </w:r>
    </w:p>
    <w:p>
      <w:pPr>
        <w:pStyle w:val="Heading1"/>
        <w:spacing w:after="120" w:before="300"/>
      </w:pPr>
      <w:r>
        <w:rPr>
          <w:rFonts w:ascii="Aptos" w:cs="Aptos" w:eastAsia="Aptos" w:hAnsi="Aptos"/>
          <w:b/>
          <w:bCs/>
          <w:i w:val="false"/>
          <w:iCs w:val="false"/>
          <w:color w:val="000000"/>
          <w:sz w:val="36"/>
          <w:szCs w:val="36"/>
        </w:rPr>
        <w:t xml:space="preserve">6. Roles and Responsibilities</w:t>
      </w:r>
    </w:p>
    <w:p>
      <w:pPr>
        <w:spacing w:after="140" w:before="0"/>
        <w:jc w:val="left"/>
      </w:pPr>
      <w:r>
        <w:rPr>
          <w:rFonts w:ascii="Aptos" w:cs="Aptos" w:eastAsia="Aptos" w:hAnsi="Aptos"/>
          <w:b w:val="false"/>
          <w:bCs w:val="false"/>
          <w:i w:val="false"/>
          <w:iCs w:val="false"/>
          <w:color w:val="000000"/>
          <w:sz w:val="24"/>
          <w:szCs w:val="24"/>
        </w:rPr>
        <w:t xml:space="preserve">Security is everyone's responsibility, but some people have more of it than others. The detail is in ISMS-LDR-005; the short version is here.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What you own in relation to this policy</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(Ananya Rao)</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Owns this policy. Signs off on any change. Accountable to the Board for MediSync's overall security posture.</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(Vikram Sundaram)</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Day-to-day ownership of the ISMS. Enforces this policy. Has a veto over any system or process change that creates unacceptable security risk. Reports security posture to the Steering Committee.</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(Meera Iyer)</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Maintains this policy and the ISMS document set. Manages the phase gate schedule and the consulting engagement. Your first point of contact for ISMS questions.</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Department heads</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Responsible for their team's compliance with this policy. Confirm resource availability for the ISMS programme. Escalate to the CISO when their team encounters a conflict between this policy and a business pressure.</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Department Security Champions</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Named at the end of Phase 2. Local implementation of controls, evidence collection, awareness follow-through. About 4 hours a week from Phase 3. Not the owner of security in their department — that's the department head.</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staff and contractors</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Read this policy. Complete training. Follow the rules in Section 5. Report incidents. Ask if you're not sure.</w:t>
            </w:r>
          </w:p>
        </w:tc>
      </w:tr>
    </w:tbl>
    <w:p>
      <w:pPr>
        <w:pStyle w:val="Heading1"/>
        <w:spacing w:after="120" w:before="300"/>
      </w:pPr>
      <w:r>
        <w:rPr>
          <w:rFonts w:ascii="Aptos" w:cs="Aptos" w:eastAsia="Aptos" w:hAnsi="Aptos"/>
          <w:b/>
          <w:bCs/>
          <w:i w:val="false"/>
          <w:iCs w:val="false"/>
          <w:color w:val="000000"/>
          <w:sz w:val="36"/>
          <w:szCs w:val="36"/>
        </w:rPr>
        <w:t xml:space="preserve">7. Legal and Regulatory Basis</w:t>
      </w:r>
    </w:p>
    <w:p>
      <w:pPr>
        <w:spacing w:after="140" w:before="0"/>
        <w:jc w:val="left"/>
      </w:pPr>
      <w:r>
        <w:rPr>
          <w:rFonts w:ascii="Aptos" w:cs="Aptos" w:eastAsia="Aptos" w:hAnsi="Aptos"/>
          <w:b w:val="false"/>
          <w:bCs w:val="false"/>
          <w:i w:val="false"/>
          <w:iCs w:val="false"/>
          <w:color w:val="000000"/>
          <w:sz w:val="24"/>
          <w:szCs w:val="24"/>
        </w:rPr>
        <w:t xml:space="preserve">This policy reflects our obligations under the following. Full detail is in ISMS-INI-010.</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Law / Framework</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Relevant obligation</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Digital Personal Data Protection Act, 2023 (India)</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Implement reasonable security safeguards. Support customers (as Data Fiduciaries) in breach notification. Enable data principal rights.</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Technology Act, 2000 (India) — Section 43A</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Body corporates handling sensitive personal data must implement and maintain reasonable security practices.</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CERT-In Incident Reporting Rules, 2022 (India)</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Report specified cyber incidents to CERT-In within 6 hours. Maintain system logs for 180 days.</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PDPL — Federal Decree-Law No. 45 of 2021</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Lawful basis for processing UAE data. Data subject rights. Cross-border transfer restrictions. Breach notification to the UAE supervisory authority.</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MoHFW EHR Standards and Telemedicine Guidelines (India)</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Clinical data structuring and exchange per national standards. Telemedicine consultation and record-keeping requirements.</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ISMS framework this policy operates within. All Clauses 4–10 and applicable Annex A controls apply.</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Enterprise customer contracts</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schedules, breach notification SLAs (some stricter than regulatory minimums), right-to-audit clauses, and in several UAE contracts, ISO 27001 certification as a precondition.</w:t>
            </w:r>
          </w:p>
        </w:tc>
      </w:tr>
    </w:tbl>
    <w:p>
      <w:pPr>
        <w:pStyle w:val="Heading1"/>
        <w:spacing w:after="120" w:before="300"/>
      </w:pPr>
      <w:r>
        <w:rPr>
          <w:rFonts w:ascii="Aptos" w:cs="Aptos" w:eastAsia="Aptos" w:hAnsi="Aptos"/>
          <w:b/>
          <w:bCs/>
          <w:i w:val="false"/>
          <w:iCs w:val="false"/>
          <w:color w:val="000000"/>
          <w:sz w:val="36"/>
          <w:szCs w:val="36"/>
        </w:rPr>
        <w:t xml:space="preserve">8. Policy Breaches</w:t>
      </w:r>
    </w:p>
    <w:p>
      <w:pPr>
        <w:spacing w:after="140" w:before="0"/>
        <w:jc w:val="left"/>
      </w:pPr>
      <w:r>
        <w:rPr>
          <w:rFonts w:ascii="Aptos" w:cs="Aptos" w:eastAsia="Aptos" w:hAnsi="Aptos"/>
          <w:b w:val="false"/>
          <w:bCs w:val="false"/>
          <w:i w:val="false"/>
          <w:iCs w:val="false"/>
          <w:color w:val="000000"/>
          <w:sz w:val="24"/>
          <w:szCs w:val="24"/>
        </w:rPr>
        <w:t xml:space="preserve">A policy breach is any action — or inaction — that violates the rules in Section 5 or undermines the security of MediSync's information or systems.</w:t>
      </w:r>
    </w:p>
    <w:p>
      <w:pPr>
        <w:spacing w:after="140" w:before="0"/>
        <w:jc w:val="left"/>
      </w:pPr>
      <w:r>
        <w:rPr>
          <w:rFonts w:ascii="Aptos" w:cs="Aptos" w:eastAsia="Aptos" w:hAnsi="Aptos"/>
          <w:b w:val="false"/>
          <w:bCs w:val="false"/>
          <w:i w:val="false"/>
          <w:iCs w:val="false"/>
          <w:color w:val="000000"/>
          <w:sz w:val="24"/>
          <w:szCs w:val="24"/>
        </w:rPr>
        <w:t xml:space="preserve">Breaches are handled through MediSync's disciplinary process. The severity of the consequence depends on the nature of the breach, whether it was accidental or deliberate, and its impact. In serious cases, disciplinary action can include termination and referral to law enforcement.</w:t>
      </w:r>
    </w:p>
    <w:p>
      <w:pPr>
        <w:spacing w:after="140" w:before="0"/>
        <w:jc w:val="left"/>
      </w:pPr>
      <w:r>
        <w:rPr>
          <w:rFonts w:ascii="Aptos" w:cs="Aptos" w:eastAsia="Aptos" w:hAnsi="Aptos"/>
          <w:b w:val="false"/>
          <w:bCs w:val="false"/>
          <w:i w:val="false"/>
          <w:iCs w:val="false"/>
          <w:color w:val="000000"/>
          <w:sz w:val="24"/>
          <w:szCs w:val="24"/>
        </w:rPr>
        <w:t xml:space="preserve">Reporting a suspected breach by a colleague is not a violation of trust — it is part of everyone's responsibility under this policy. Reports are investigated objectively. Retaliation against someone who makes a good-faith report is itself a policy breach.</w:t>
      </w:r>
    </w:p>
    <w:p>
      <w:pPr>
        <w:pStyle w:val="Heading1"/>
        <w:spacing w:after="120" w:before="300"/>
      </w:pPr>
      <w:r>
        <w:rPr>
          <w:rFonts w:ascii="Aptos" w:cs="Aptos" w:eastAsia="Aptos" w:hAnsi="Aptos"/>
          <w:b/>
          <w:bCs/>
          <w:i w:val="false"/>
          <w:iCs w:val="false"/>
          <w:color w:val="000000"/>
          <w:sz w:val="36"/>
          <w:szCs w:val="36"/>
        </w:rPr>
        <w:t xml:space="preserve">9. Exceptions</w:t>
      </w:r>
    </w:p>
    <w:p>
      <w:pPr>
        <w:spacing w:after="140" w:before="0"/>
        <w:jc w:val="left"/>
      </w:pPr>
      <w:r>
        <w:rPr>
          <w:rFonts w:ascii="Aptos" w:cs="Aptos" w:eastAsia="Aptos" w:hAnsi="Aptos"/>
          <w:b w:val="false"/>
          <w:bCs w:val="false"/>
          <w:i w:val="false"/>
          <w:iCs w:val="false"/>
          <w:color w:val="000000"/>
          <w:sz w:val="24"/>
          <w:szCs w:val="24"/>
        </w:rPr>
        <w:t xml:space="preserve">Business or technical requirements sometimes create a genuine conflict with a rule in this policy. Exceptions are allowed — but they must go through a formal process.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Step</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What happens</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Identify the need</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department head identifies that a specific rule cannot be followed without material business impact. This is documented with a clear explanation.</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 Submit to CISO</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request goes to the CISO with a description of the rule, why it cannot be followed, the proposed alternative control, and the duration of the exception.</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Risk assessment</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CISO assesses the risk of the exception. If the exception creates risk above appetite, it is escalated to the Steering Committee.</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Formal approval</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If approved, the exception is documented, time-limited, and added to the exceptions log. No exception is permanent — they are reviewed at each annual policy review.</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Review</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open exceptions are reviewed at each management review cycle and renewed or closed at that point.</w:t>
            </w:r>
          </w:p>
        </w:tc>
      </w:tr>
    </w:tbl>
    <w:p>
      <w:pPr>
        <w:spacing w:after="140" w:before="60"/>
        <w:jc w:val="left"/>
      </w:pPr>
      <w:r>
        <w:rPr>
          <w:rFonts w:ascii="Aptos" w:cs="Aptos" w:eastAsia="Aptos" w:hAnsi="Aptos"/>
          <w:b w:val="false"/>
          <w:bCs w:val="false"/>
          <w:i w:val="false"/>
          <w:iCs w:val="false"/>
          <w:color w:val="000000"/>
          <w:sz w:val="24"/>
          <w:szCs w:val="24"/>
        </w:rPr>
        <w:t xml:space="preserve">"We didn't know about this rule" is not a valid basis for an exception request. If something has been running inconsistently with this policy for a while, report it, document it, and get it onto the exceptions log. That is far better than the alternative.</w:t>
      </w:r>
    </w:p>
    <w:p>
      <w:pPr>
        <w:pStyle w:val="Heading1"/>
        <w:spacing w:after="120" w:before="300"/>
      </w:pPr>
      <w:r>
        <w:rPr>
          <w:rFonts w:ascii="Aptos" w:cs="Aptos" w:eastAsia="Aptos" w:hAnsi="Aptos"/>
          <w:b/>
          <w:bCs/>
          <w:i w:val="false"/>
          <w:iCs w:val="false"/>
          <w:color w:val="000000"/>
          <w:sz w:val="36"/>
          <w:szCs w:val="36"/>
        </w:rPr>
        <w:t xml:space="preserve">10. Policy Review and Maintenance</w:t>
      </w:r>
    </w:p>
    <w:p>
      <w:pPr>
        <w:spacing w:after="140" w:before="0"/>
        <w:jc w:val="left"/>
      </w:pPr>
      <w:r>
        <w:rPr>
          <w:rFonts w:ascii="Aptos" w:cs="Aptos" w:eastAsia="Aptos" w:hAnsi="Aptos"/>
          <w:b w:val="false"/>
          <w:bCs w:val="false"/>
          <w:i w:val="false"/>
          <w:iCs w:val="false"/>
          <w:color w:val="000000"/>
          <w:sz w:val="24"/>
          <w:szCs w:val="24"/>
        </w:rPr>
        <w:t xml:space="preserve">This policy is reviewed annually by the CISO and updated as needed. It is also reviewed — and may be reissued mid-cycle — whenever any of the following occur:</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significant change to MediSync's products, architecture, or operating locations.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new regulatory obligation comes into force that this policy does not yet address.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significant security incident reveals a gap in the policy.</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management review or internal audit identifies a policy deficiency.</w:t>
      </w:r>
    </w:p>
    <w:p>
      <w:pPr>
        <w:spacing w:after="140" w:before="60"/>
        <w:jc w:val="left"/>
      </w:pPr>
      <w:r>
        <w:rPr>
          <w:rFonts w:ascii="Aptos" w:cs="Aptos" w:eastAsia="Aptos" w:hAnsi="Aptos"/>
          <w:b w:val="false"/>
          <w:bCs w:val="false"/>
          <w:i w:val="false"/>
          <w:iCs w:val="false"/>
          <w:color w:val="000000"/>
          <w:sz w:val="24"/>
          <w:szCs w:val="24"/>
        </w:rPr>
        <w:t xml:space="preserve">Minor wording corrections do not require a version increment. Changes to requirements do.</w:t>
      </w:r>
    </w:p>
    <w:p>
      <w:pPr>
        <w:spacing w:after="140" w:before="0"/>
        <w:jc w:val="left"/>
      </w:pPr>
      <w:r>
        <w:rPr>
          <w:rFonts w:ascii="Aptos" w:cs="Aptos" w:eastAsia="Aptos" w:hAnsi="Aptos"/>
          <w:b w:val="false"/>
          <w:bCs w:val="false"/>
          <w:i w:val="false"/>
          <w:iCs w:val="false"/>
          <w:color w:val="000000"/>
          <w:sz w:val="24"/>
          <w:szCs w:val="24"/>
        </w:rPr>
        <w:t xml:space="preserve">Suggestions for improving this policy are welcome — send them to the ISMS Manager. We'd rather have a policy that reflects how people actually work than one that people quietly ignore because it's impractical.</w:t>
      </w:r>
    </w:p>
    <w:p>
      <w:pPr>
        <w:pStyle w:val="Heading1"/>
        <w:spacing w:after="120" w:before="300"/>
      </w:pPr>
      <w:r>
        <w:rPr>
          <w:rFonts w:ascii="Aptos" w:cs="Aptos" w:eastAsia="Aptos" w:hAnsi="Aptos"/>
          <w:b/>
          <w:bCs/>
          <w:i w:val="false"/>
          <w:iCs w:val="false"/>
          <w:color w:val="000000"/>
          <w:sz w:val="36"/>
          <w:szCs w:val="36"/>
        </w:rPr>
        <w:t xml:space="preserve">11.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Policy owner — prepared and recommended for approval</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Mar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&amp; Compliance (UAE)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obligations section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29 Mar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&amp; Compliance / ISMS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alignment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policy in force from 1 April 2026</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Apr 2026</w:t>
            </w:r>
          </w:p>
        </w:tc>
      </w:tr>
    </w:tbl>
    <w:p>
      <w:pPr>
        <w:keepNext/>
        <w:spacing w:after="80" w:before="28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80"/>
      </w:pPr>
      <w:r>
        <w:rPr>
          <w:rFonts w:ascii="Aptos" w:cs="Aptos" w:eastAsia="Aptos" w:hAnsi="Aptos"/>
          <w:b w:val="false"/>
          <w:bCs w:val="false"/>
          <w:i/>
          <w:iCs/>
          <w:color w:val="000000"/>
          <w:sz w:val="24"/>
          <w:szCs w:val="24"/>
        </w:rPr>
        <w:t xml:space="preserve">Ananya Rao, Chief Executive Officer</w:t>
      </w:r>
    </w:p>
    <w:p>
      <w:pPr>
        <w:spacing w:after="160"/>
      </w:pPr>
      <w:r>
        <w:rPr>
          <w:rFonts w:ascii="Aptos" w:cs="Aptos" w:eastAsia="Aptos" w:hAnsi="Aptos"/>
          <w:b w:val="false"/>
          <w:bCs w:val="false"/>
          <w:i/>
          <w:iCs/>
          <w:color w:val="000000"/>
          <w:sz w:val="24"/>
          <w:szCs w:val="24"/>
        </w:rPr>
        <w:t xml:space="preserve">MediSync Technologies Pvt. Ltd.</w:t>
      </w:r>
    </w:p>
    <w:p>
      <w:pPr>
        <w:spacing w:after="140" w:before="60"/>
        <w:jc w:val="left"/>
      </w:pPr>
      <w:r>
        <w:rPr>
          <w:rFonts w:ascii="Aptos" w:cs="Aptos" w:eastAsia="Aptos" w:hAnsi="Aptos"/>
          <w:b w:val="false"/>
          <w:bCs w:val="false"/>
          <w:i/>
          <w:iCs/>
          <w:color w:val="000000"/>
          <w:sz w:val="24"/>
          <w:szCs w:val="24"/>
        </w:rPr>
        <w:t xml:space="preserve">Questions about this policy: meera.iyer@medisync.io (ISMS Manager) or security@medisync.io (SOC)</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Internal (All Staff)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ISMS-LDR-001  |  Information Security Policy  |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2026-08-24T09:04:58.707Z</dcterms:created>
  <dcterms:modified xsi:type="dcterms:W3CDTF">2026-08-24T09:04:58.707Z</dcterms:modified>
</cp:coreProperties>
</file>

<file path=docProps/custom.xml><?xml version="1.0" encoding="utf-8"?>
<Properties xmlns="http://schemas.openxmlformats.org/officeDocument/2006/custom-properties" xmlns:vt="http://schemas.openxmlformats.org/officeDocument/2006/docPropsVTypes"/>
</file>