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ptos" w:cs="Aptos" w:eastAsia="Aptos" w:hAnsi="Aptos"/>
          <w:b/>
          <w:bCs/>
          <w:i w:val="false"/>
          <w:iCs w:val="false"/>
          <w:color w:val="000000"/>
          <w:sz w:val="32"/>
          <w:szCs w:val="32"/>
        </w:rPr>
        <w:t xml:space="preserve">MEDISYNC TECHNOLOGIES PVT. LTD.</w:t>
      </w:r>
    </w:p>
    <w:p>
      <w:pPr>
        <w:spacing w:after="200"/>
        <w:jc w:val="center"/>
      </w:pPr>
      <w:r>
        <w:rPr>
          <w:rFonts w:ascii="Aptos" w:cs="Aptos" w:eastAsia="Aptos" w:hAnsi="Aptos"/>
          <w:b w:val="false"/>
          <w:bCs w:val="false"/>
          <w:i/>
          <w:iCs/>
          <w:color w:val="000000"/>
          <w:sz w:val="24"/>
          <w:szCs w:val="24"/>
        </w:rPr>
        <w:t xml:space="preserve">Bengaluru  |  Pune  |  Hyderabad  |  Dubai</w:t>
      </w:r>
    </w:p>
    <w:p>
      <w:pPr>
        <w:spacing w:after="80" w:before="160"/>
        <w:jc w:val="center"/>
      </w:pPr>
      <w:r>
        <w:rPr>
          <w:rFonts w:ascii="Aptos" w:cs="Aptos" w:eastAsia="Aptos" w:hAnsi="Aptos"/>
          <w:b/>
          <w:bCs/>
          <w:i w:val="false"/>
          <w:iCs w:val="false"/>
          <w:color w:val="000000"/>
          <w:sz w:val="36"/>
          <w:szCs w:val="36"/>
        </w:rPr>
        <w:t xml:space="preserve">INFORMATION SECURITY OBJECTIVES DOCUMENT</w:t>
      </w:r>
    </w:p>
    <w:p>
      <w:pPr>
        <w:spacing w:after="280"/>
        <w:jc w:val="center"/>
      </w:pPr>
      <w:r>
        <w:rPr>
          <w:rFonts w:ascii="Aptos" w:cs="Aptos" w:eastAsia="Aptos" w:hAnsi="Aptos"/>
          <w:b w:val="false"/>
          <w:bCs w:val="false"/>
          <w:i/>
          <w:iCs/>
          <w:color w:val="000000"/>
          <w:sz w:val="28"/>
          <w:szCs w:val="28"/>
        </w:rPr>
        <w:t xml:space="preserve">Project HealthSec — ISO/IEC 27001:2022 ISMS Implementation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024"/>
        <w:gridCol w:w="7056"/>
      </w:tblGrid>
      <w:tr>
        <w:trPr>
          <w:cantSplit/>
          <w:tblHeader/>
        </w:trPr>
        <w:tc>
          <w:tcPr>
            <w:tcW w:type="dxa" w:w="3024"/>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056"/>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Detail</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Title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Objectives Document</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Reference Number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ISMS-LDR-002</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ISO/IEC 27001:2022 Clause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Clause 6.2 — Information Security Objectives and Planning to Achieve Them</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Master List Entry</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2 — Leadership (Clause 5), Item 2 of 9</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Version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Status</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 Baseline Objectives Set</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Classification</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Confidential — Internal Use Only</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 — Chief Information Security Officer</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Steering Committee</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Date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April 2026</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Effective Date</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April 2026</w:t>
            </w:r>
          </w:p>
        </w:tc>
      </w:tr>
      <w:tr>
        <w:trPr>
          <w:cantSplit/>
        </w:trPr>
        <w:tc>
          <w:tcPr>
            <w:tcW w:type="dxa" w:w="3024"/>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Reporting Cadence</w:t>
            </w:r>
          </w:p>
        </w:tc>
        <w:tc>
          <w:tcPr>
            <w:tcW w:type="dxa" w:w="7056"/>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to the ISMS Steering Committee. Formally reviewed at each management review cycle (ISMS-PEV-008).</w:t>
            </w:r>
          </w:p>
        </w:tc>
      </w:tr>
      <w:tr>
        <w:trPr>
          <w:cantSplit/>
        </w:trPr>
        <w:tc>
          <w:tcPr>
            <w:tcW w:type="dxa" w:w="3024"/>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Next Full Review</w:t>
            </w:r>
          </w:p>
        </w:tc>
        <w:tc>
          <w:tcPr>
            <w:tcW w:type="dxa" w:w="7056"/>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 the first management review — October 2026</w:t>
            </w:r>
          </w:p>
        </w:tc>
      </w:tr>
    </w:tbl>
    <w:p>
      <w:pPr>
        <w:spacing w:after="200" w:before="140"/>
      </w:pPr>
      <w:r>
        <w:rPr>
          <w:rFonts w:ascii="Aptos" w:cs="Aptos" w:eastAsia="Aptos" w:hAnsi="Aptos"/>
          <w:b w:val="false"/>
          <w:bCs w:val="false"/>
          <w:i/>
          <w:iCs/>
          <w:color w:val="000000"/>
          <w:sz w:val="24"/>
          <w:szCs w:val="24"/>
        </w:rPr>
        <w:t xml:space="preserve">This document sets MediSync's information security objectives for the ISMS implementation period (2026–2027). Objectives are specific, measurable and owned. They are not aspirations — progress is tracked quarterly and reported to the Steering Committee.</w:t>
      </w:r>
    </w:p>
    <w:p>
      <w:pPr>
        <w:pStyle w:val="Heading1"/>
        <w:spacing w:after="120" w:before="300"/>
      </w:pPr>
      <w:r>
        <w:rPr>
          <w:rFonts w:ascii="Aptos" w:cs="Aptos" w:eastAsia="Aptos" w:hAnsi="Aptos"/>
          <w:b/>
          <w:bCs/>
          <w:i w:val="false"/>
          <w:iCs w:val="false"/>
          <w:color w:val="000000"/>
          <w:sz w:val="36"/>
          <w:szCs w:val="36"/>
        </w:rPr>
        <w:t xml:space="preserve">Document Control</w:t>
      </w:r>
    </w:p>
    <w:p>
      <w:pPr>
        <w:pStyle w:val="Heading2"/>
        <w:spacing w:after="100" w:before="200"/>
      </w:pPr>
      <w:r>
        <w:rPr>
          <w:rFonts w:ascii="Aptos" w:cs="Aptos" w:eastAsia="Aptos" w:hAnsi="Aptos"/>
          <w:b/>
          <w:bCs/>
          <w:i w:val="false"/>
          <w:iCs w:val="false"/>
          <w:color w:val="000000"/>
          <w:sz w:val="32"/>
          <w:szCs w:val="32"/>
        </w:rPr>
        <w:t xml:space="preserve">1. Version History</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900"/>
        <w:gridCol w:w="1300"/>
        <w:gridCol w:w="1700"/>
        <w:gridCol w:w="4600"/>
        <w:gridCol w:w="1580"/>
      </w:tblGrid>
      <w:tr>
        <w:trPr>
          <w:cantSplit/>
          <w:tblHeader/>
        </w:trPr>
        <w:tc>
          <w:tcPr>
            <w:tcW w:type="dxa" w:w="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Ver.</w:t>
            </w:r>
          </w:p>
        </w:tc>
        <w:tc>
          <w:tcPr>
            <w:tcW w:type="dxa" w:w="1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c>
          <w:tcPr>
            <w:tcW w:type="dxa" w:w="17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Author</w:t>
            </w:r>
          </w:p>
        </w:tc>
        <w:tc>
          <w:tcPr>
            <w:tcW w:type="dxa" w:w="4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Summary</w:t>
            </w:r>
          </w:p>
        </w:tc>
        <w:tc>
          <w:tcPr>
            <w:tcW w:type="dxa" w:w="15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Approved By</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0.1</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 Mar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Consulting Team</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Initial draft — objectives derived from business objectives in ISMS-CSD-001 Section 6 and security objectives in ISMS-CSD-001 Section 16.</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0.2</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22 Mar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Metrics refined. Objectives aligned with Phase 3 risk assessment inputs. Baseline status set.</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0.3</w:t>
            </w:r>
          </w:p>
        </w:tc>
        <w:tc>
          <w:tcPr>
            <w:tcW w:type="dxa" w:w="1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Mar 2026</w:t>
            </w:r>
          </w:p>
        </w:tc>
        <w:tc>
          <w:tcPr>
            <w:tcW w:type="dxa" w:w="17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4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Reporting mechanism and objective owners confirmed.</w:t>
            </w:r>
          </w:p>
        </w:tc>
        <w:tc>
          <w:tcPr>
            <w:tcW w:type="dxa" w:w="15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N/A</w:t>
            </w:r>
          </w:p>
        </w:tc>
      </w:tr>
      <w:tr>
        <w:trPr>
          <w:cantSplit/>
        </w:trPr>
        <w:tc>
          <w:tcPr>
            <w:tcW w:type="dxa" w:w="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w:t>
            </w:r>
          </w:p>
        </w:tc>
        <w:tc>
          <w:tcPr>
            <w:tcW w:type="dxa" w:w="1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 2026</w:t>
            </w:r>
          </w:p>
        </w:tc>
        <w:tc>
          <w:tcPr>
            <w:tcW w:type="dxa" w:w="17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by ISMS Steering Committee as baseline objectives.</w:t>
            </w:r>
          </w:p>
        </w:tc>
        <w:tc>
          <w:tcPr>
            <w:tcW w:type="dxa" w:w="15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w:t>
            </w:r>
          </w:p>
        </w:tc>
      </w:tr>
    </w:tbl>
    <w:p>
      <w:pPr>
        <w:pStyle w:val="Heading2"/>
        <w:spacing w:after="100" w:before="200"/>
      </w:pPr>
      <w:r>
        <w:rPr>
          <w:rFonts w:ascii="Aptos" w:cs="Aptos" w:eastAsia="Aptos" w:hAnsi="Aptos"/>
          <w:b/>
          <w:bCs/>
          <w:i w:val="false"/>
          <w:iCs w:val="false"/>
          <w:color w:val="000000"/>
          <w:sz w:val="32"/>
          <w:szCs w:val="32"/>
        </w:rPr>
        <w:t xml:space="preserve">2. Related Documents</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900"/>
        <w:gridCol w:w="3000"/>
        <w:gridCol w:w="5180"/>
      </w:tblGrid>
      <w:tr>
        <w:trPr>
          <w:cantSplit/>
          <w:tblHeader/>
        </w:trPr>
        <w:tc>
          <w:tcPr>
            <w:tcW w:type="dxa" w:w="1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Reference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Document</w:t>
            </w:r>
          </w:p>
        </w:tc>
        <w:tc>
          <w:tcPr>
            <w:tcW w:type="dxa" w:w="51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Relationship</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Information Security Policy</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four top-level policy commitments this document translates into measurable objectives.</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ISMS-INI-002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Project Plan</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Phase gate dates used as milestones in objective O-05 (certification).</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ISMS-INI-012</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Gap Assessment Report</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maturity scores that set the starting line for each objective.</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ISMS-PLN-002</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Appetite &amp; Criteria Document</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appetite used to set the target thresholds in objectives O-02 and O-03.</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Risk Register</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Live source of the risk data measured in objectives O-02 and O-03.</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ISMS-PEV-001</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Monitoring &amp; Measurement Plan</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Defines how each metric in this document is collected and reported.</w:t>
            </w:r>
          </w:p>
        </w:tc>
      </w:tr>
      <w:tr>
        <w:trPr>
          <w:cantSplit/>
        </w:trPr>
        <w:tc>
          <w:tcPr>
            <w:tcW w:type="dxa" w:w="1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ISMS-PEV-008</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Management Review Minutes</w:t>
            </w:r>
          </w:p>
        </w:tc>
        <w:tc>
          <w:tcPr>
            <w:tcW w:type="dxa" w:w="51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forum at which annual objective performance is formally reviewed and objectives are updated.</w:t>
            </w:r>
          </w:p>
        </w:tc>
      </w:tr>
      <w:tr>
        <w:trPr>
          <w:cantSplit/>
        </w:trPr>
        <w:tc>
          <w:tcPr>
            <w:tcW w:type="dxa" w:w="1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ISMS-CRT-004</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Power BI Dashboard Suite</w:t>
            </w:r>
          </w:p>
        </w:tc>
        <w:tc>
          <w:tcPr>
            <w:tcW w:type="dxa" w:w="51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Dashboards will visualise most of the metrics in this document from Phase 10.</w:t>
            </w:r>
          </w:p>
        </w:tc>
      </w:tr>
    </w:tbl>
    <w:p>
      <w:pPr>
        <w:pStyle w:val="Heading1"/>
        <w:spacing w:after="120" w:before="200"/>
        <w:jc w:val="center"/>
      </w:pPr>
      <w:r>
        <w:rPr>
          <w:rFonts w:ascii="Aptos" w:cs="Aptos" w:eastAsia="Aptos" w:hAnsi="Aptos"/>
          <w:b/>
          <w:bCs/>
          <w:i w:val="false"/>
          <w:iCs w:val="false"/>
          <w:color w:val="000000"/>
          <w:sz w:val="36"/>
          <w:szCs w:val="36"/>
        </w:rPr>
        <w:t xml:space="preserve">Table of Contents</w:t>
      </w:r>
    </w:p>
    <w:p>
      <w:pPr>
        <w:spacing w:after="140"/>
        <w:jc w:val="center"/>
      </w:pPr>
      <w:r>
        <w:rPr>
          <w:rFonts w:ascii="Aptos" w:cs="Aptos" w:eastAsia="Aptos" w:hAnsi="Aptos"/>
          <w:b w:val="false"/>
          <w:bCs w:val="false"/>
          <w:i/>
          <w:iCs/>
          <w:color w:val="000000"/>
          <w:sz w:val="22"/>
          <w:szCs w:val="22"/>
        </w:rPr>
        <w:t xml:space="preserve">(Right-click → 'Update Field' or press F9 in Microsoft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00"/>
      </w:pPr>
      <w:r>
        <w:rPr>
          <w:rFonts w:ascii="Aptos" w:cs="Aptos" w:eastAsia="Aptos" w:hAnsi="Aptos"/>
          <w:b/>
          <w:bCs/>
          <w:i w:val="false"/>
          <w:iCs w:val="false"/>
          <w:color w:val="000000"/>
          <w:sz w:val="36"/>
          <w:szCs w:val="36"/>
        </w:rPr>
        <w:t xml:space="preserve">1. Purpose</w:t>
      </w:r>
    </w:p>
    <w:p>
      <w:pPr>
        <w:spacing w:after="140" w:before="0"/>
        <w:jc w:val="left"/>
      </w:pPr>
      <w:r>
        <w:rPr>
          <w:rFonts w:ascii="Aptos" w:cs="Aptos" w:eastAsia="Aptos" w:hAnsi="Aptos"/>
          <w:b w:val="false"/>
          <w:bCs w:val="false"/>
          <w:i w:val="false"/>
          <w:iCs w:val="false"/>
          <w:color w:val="000000"/>
          <w:sz w:val="24"/>
          <w:szCs w:val="24"/>
        </w:rPr>
        <w:t xml:space="preserve">Clause 6.2 of ISO/IEC 27001:2022 requires that information security objectives be established, communicated, and tracked. This document does that — it takes the policy commitments in ISMS-LDR-001 and turns them into specific outcomes that can be measured, owned, and reported on.</w:t>
      </w:r>
    </w:p>
    <w:p>
      <w:pPr>
        <w:spacing w:after="140" w:before="0"/>
        <w:jc w:val="left"/>
      </w:pPr>
      <w:r>
        <w:rPr>
          <w:rFonts w:ascii="Aptos" w:cs="Aptos" w:eastAsia="Aptos" w:hAnsi="Aptos"/>
          <w:b w:val="false"/>
          <w:bCs w:val="false"/>
          <w:i w:val="false"/>
          <w:iCs w:val="false"/>
          <w:color w:val="000000"/>
          <w:sz w:val="24"/>
          <w:szCs w:val="24"/>
        </w:rPr>
        <w:t xml:space="preserve">There are two levels of objectives here. The first (Section 3) are the operational objectives for the implementation period — what we need to achieve to get certified and get the ISMS running. The second (Section 4) are the ongoing ISMS objectives that will continue after certification and be reviewed annually. Both matter. One without the other would either produce a certification without a functioning ISMS, or skip the work needed to get there.</w:t>
      </w:r>
    </w:p>
    <w:p>
      <w:pPr>
        <w:pStyle w:val="Heading1"/>
        <w:spacing w:after="120" w:before="300"/>
      </w:pPr>
      <w:r>
        <w:rPr>
          <w:rFonts w:ascii="Aptos" w:cs="Aptos" w:eastAsia="Aptos" w:hAnsi="Aptos"/>
          <w:b/>
          <w:bCs/>
          <w:i w:val="false"/>
          <w:iCs w:val="false"/>
          <w:color w:val="000000"/>
          <w:sz w:val="36"/>
          <w:szCs w:val="36"/>
        </w:rPr>
        <w:t xml:space="preserve">2. How Objectives Work at MediSync</w:t>
      </w:r>
    </w:p>
    <w:p>
      <w:pPr>
        <w:spacing w:after="140" w:before="0"/>
        <w:jc w:val="left"/>
      </w:pPr>
      <w:r>
        <w:rPr>
          <w:rFonts w:ascii="Aptos" w:cs="Aptos" w:eastAsia="Aptos" w:hAnsi="Aptos"/>
          <w:b w:val="false"/>
          <w:bCs w:val="false"/>
          <w:i w:val="false"/>
          <w:iCs w:val="false"/>
          <w:color w:val="000000"/>
          <w:sz w:val="24"/>
          <w:szCs w:val="24"/>
        </w:rPr>
        <w:t xml:space="preserve">Every objective in this document follows the same structure:</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200"/>
        <w:gridCol w:w="7880"/>
      </w:tblGrid>
      <w:tr>
        <w:trPr>
          <w:cantSplit/>
          <w:tblHeader/>
        </w:trPr>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Field</w:t>
            </w:r>
          </w:p>
        </w:tc>
        <w:tc>
          <w:tcPr>
            <w:tcW w:type="dxa" w:w="7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What it means</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Objective ID</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 unique reference (O-01, O-02, etc.) used in Steering Committee reports and the dashboard.</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Objective</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What we are trying to achieve, in plain language.</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Metric</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we know if we've achieved it. If it can't be measured, it's not an objective — it's a wish.</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Target</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specific value or threshold that counts as success.</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Where we are now, from the gap assessment (ISMS-INI-012) or existing data.</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Owner</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person accountable for progress. Not the team — the named individual.</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Reporting</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How often and in which forum progress is reported.</w:t>
            </w:r>
          </w:p>
        </w:tc>
      </w:tr>
      <w:tr>
        <w:trPr>
          <w:cantSplit/>
        </w:trPr>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Milestone</w:t>
            </w:r>
          </w:p>
        </w:tc>
        <w:tc>
          <w:tcPr>
            <w:tcW w:type="dxa" w:w="7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The project gate or date by which the target must be met (for implementation-period objectives).</w:t>
            </w:r>
          </w:p>
        </w:tc>
      </w:tr>
      <w:tr>
        <w:trPr>
          <w:cantSplit/>
        </w:trPr>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Status</w:t>
            </w:r>
          </w:p>
        </w:tc>
        <w:tc>
          <w:tcPr>
            <w:tcW w:type="dxa" w:w="7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Where this stands today — Baseline (not yet started), Scheduled, or On Track.</w:t>
            </w:r>
          </w:p>
        </w:tc>
      </w:tr>
    </w:tbl>
    <w:p>
      <w:pPr>
        <w:spacing w:after="140" w:before="60"/>
        <w:jc w:val="left"/>
      </w:pPr>
      <w:r>
        <w:rPr>
          <w:rFonts w:ascii="Aptos" w:cs="Aptos" w:eastAsia="Aptos" w:hAnsi="Aptos"/>
          <w:b w:val="false"/>
          <w:bCs w:val="false"/>
          <w:i w:val="false"/>
          <w:iCs w:val="false"/>
          <w:color w:val="000000"/>
          <w:sz w:val="24"/>
          <w:szCs w:val="24"/>
        </w:rPr>
        <w:t xml:space="preserve">If an objective is not being met and the owner cannot resolve it within their function, it escalates to the CISO. If it affects a gate, it escalates to the Steering Committee immediately.</w:t>
      </w:r>
    </w:p>
    <w:p>
      <w:pPr>
        <w:pStyle w:val="Heading1"/>
        <w:spacing w:after="120" w:before="300"/>
      </w:pPr>
      <w:r>
        <w:rPr>
          <w:rFonts w:ascii="Aptos" w:cs="Aptos" w:eastAsia="Aptos" w:hAnsi="Aptos"/>
          <w:b/>
          <w:bCs/>
          <w:i w:val="false"/>
          <w:iCs w:val="false"/>
          <w:color w:val="000000"/>
          <w:sz w:val="36"/>
          <w:szCs w:val="36"/>
        </w:rPr>
        <w:t xml:space="preserve">3. Implementation-Period Objectives</w:t>
      </w:r>
    </w:p>
    <w:p>
      <w:pPr>
        <w:spacing w:after="140" w:before="0"/>
        <w:jc w:val="left"/>
      </w:pPr>
      <w:r>
        <w:rPr>
          <w:rFonts w:ascii="Aptos" w:cs="Aptos" w:eastAsia="Aptos" w:hAnsi="Aptos"/>
          <w:b w:val="false"/>
          <w:bCs w:val="false"/>
          <w:i w:val="false"/>
          <w:iCs w:val="false"/>
          <w:color w:val="000000"/>
          <w:sz w:val="24"/>
          <w:szCs w:val="24"/>
        </w:rPr>
        <w:t xml:space="preserve">These are the objectives that exist specifically to get the ISMS built, running, and certified. They expire or transition into ongoing objectives once certification is achieved. Each is tied to a project milestone from ISMS-INI-002.</w:t>
      </w:r>
    </w:p>
    <w:tbl>
      <w:tblPr>
        <w:tblW w:type="dxa" w:w="1216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2600"/>
        <w:gridCol w:w="2400"/>
        <w:gridCol w:w="1400"/>
        <w:gridCol w:w="1600"/>
        <w:gridCol w:w="1500"/>
        <w:gridCol w:w="2060"/>
      </w:tblGrid>
      <w:tr>
        <w:trPr>
          <w:cantSplit/>
          <w:tblHeader/>
        </w:trPr>
        <w:tc>
          <w:tcPr>
            <w:tcW w:type="dxa" w:w="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ID</w:t>
            </w:r>
          </w:p>
        </w:tc>
        <w:tc>
          <w:tcPr>
            <w:tcW w:type="dxa" w:w="2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Objective</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Metric / Target</w:t>
            </w:r>
          </w:p>
        </w:tc>
        <w:tc>
          <w:tcPr>
            <w:tcW w:type="dxa" w:w="1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Baseline</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5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Milestone</w:t>
            </w:r>
          </w:p>
        </w:tc>
        <w:tc>
          <w:tcPr>
            <w:tcW w:type="dxa" w:w="20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Baseline Status</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O-01</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Phase 1 — 16 initiation documents approved</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16 ISMS-INI documents at Status: Approved in the document register. Target: 100%.</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16/16 complete</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M-01 — Mar 2026</w:t>
            </w:r>
          </w:p>
        </w:tc>
        <w:tc>
          <w:tcPr>
            <w:tcW w:type="dxa" w:w="206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On track</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O-02</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Issue unified policy suite — supersede all ad-hoc department policies</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9 ISMS-LDR documents approved and published to all staff. Target: 100%.</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0/9 issued under the new series</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M-02 — Apr 2026</w:t>
            </w:r>
          </w:p>
        </w:tc>
        <w:tc>
          <w:tcPr>
            <w:tcW w:type="dxa" w:w="2060"/>
            <w:tcBorders>
              <w:top w:val="single" w:color="000000" w:sz="4"/>
              <w:left w:val="single" w:color="000000" w:sz="4"/>
              <w:bottom w:val="single" w:color="000000" w:sz="4"/>
              <w:right w:val="single" w:color="000000" w:sz="4"/>
            </w:tcBorders>
            <w:shd w:fill="C6EFCE"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On track</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O-03</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Build a complete, authoritative Information Asset Register</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ISMS-PLN-003 approved. Shared platform layer assets registered first, then product-layer. Target: 100% of in-scope asset categories inventoried.</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Three partial lists — none authoritative (Gap G-01)</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M-03 — Jun 2026</w:t>
            </w:r>
          </w:p>
        </w:tc>
        <w:tc>
          <w:tcPr>
            <w:tcW w:type="dxa" w:w="2060"/>
            <w:tcBorders>
              <w:top w:val="single" w:color="000000" w:sz="4"/>
              <w:left w:val="single" w:color="000000" w:sz="4"/>
              <w:bottom w:val="single" w:color="000000" w:sz="4"/>
              <w:right w:val="single" w:color="000000" w:sz="4"/>
            </w:tcBorders>
            <w:shd w:fill="FFEB9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 not yet started</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O-04</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the risk assessment — risk register and SoA approved</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ISMS-PLN-004 (Risk Register) and ISMS-PLN-006 (SoA) approved by Steering Committee. 100% of identified risks above appetite have a named owner and treatment decision.</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organisational risk register (Gap G-02, G-03)</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M-03 — Jun 2026</w:t>
            </w:r>
          </w:p>
        </w:tc>
        <w:tc>
          <w:tcPr>
            <w:tcW w:type="dxa" w:w="2060"/>
            <w:tcBorders>
              <w:top w:val="single" w:color="000000" w:sz="4"/>
              <w:left w:val="single" w:color="000000" w:sz="4"/>
              <w:bottom w:val="single" w:color="000000" w:sz="4"/>
              <w:right w:val="single" w:color="000000" w:sz="4"/>
            </w:tcBorders>
            <w:shd w:fill="FFEB9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 not yet started</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O-05</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Conduct full access review — overdue hospital-facing admin accounts reviewed</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ISMS-OPS-009 access review log shows 100% of hospital-facing admin accounts reviewed in the current cycle. Last review was &gt;12 months ago.</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Last full review &gt;12 months ago (Gap G-04)</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 — Oct 2026</w:t>
            </w:r>
          </w:p>
        </w:tc>
        <w:tc>
          <w:tcPr>
            <w:tcW w:type="dxa" w:w="2060"/>
            <w:tcBorders>
              <w:top w:val="single" w:color="000000" w:sz="4"/>
              <w:left w:val="single" w:color="000000" w:sz="4"/>
              <w:bottom w:val="single" w:color="000000" w:sz="4"/>
              <w:right w:val="single" w:color="000000" w:sz="4"/>
            </w:tcBorders>
            <w:shd w:fill="FFEB9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 not yet started</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O-06</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Launch mandatory awareness training across all departments (not just Engineering)</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95% completion of the mandatory module per department. Finance anti-phishing module mandatory. Tracked in ISMS-SUP-006.</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Engineering only — ~140 staff covered, ~290 not covered (Gap G-10)</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M-04 — Jul 2026</w:t>
            </w:r>
          </w:p>
        </w:tc>
        <w:tc>
          <w:tcPr>
            <w:tcW w:type="dxa" w:w="2060"/>
            <w:tcBorders>
              <w:top w:val="single" w:color="000000" w:sz="4"/>
              <w:left w:val="single" w:color="000000" w:sz="4"/>
              <w:bottom w:val="single" w:color="000000" w:sz="4"/>
              <w:right w:val="single" w:color="000000" w:sz="4"/>
            </w:tcBorders>
            <w:shd w:fill="FFEB9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 not yet started</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O-07</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Rewrite and test incident response plan — all three notification tracks</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ISMS-OPS-005 reissued. Tabletop exercise completed and documented. Both CERT-In path and UAE PDPL path tested in the exercise.</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Plan exists but untested; CERT-In and PDPL paths absent (Gap G-05)</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 — Oct 2026</w:t>
            </w:r>
          </w:p>
        </w:tc>
        <w:tc>
          <w:tcPr>
            <w:tcW w:type="dxa" w:w="2060"/>
            <w:tcBorders>
              <w:top w:val="single" w:color="000000" w:sz="4"/>
              <w:left w:val="single" w:color="000000" w:sz="4"/>
              <w:bottom w:val="single" w:color="000000" w:sz="4"/>
              <w:right w:val="single" w:color="000000" w:sz="4"/>
            </w:tcBorders>
            <w:shd w:fill="FFEB9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 not yet started</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O-08</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end-to-end DR test — establish known RTO</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ISMS-OPS-007 BCDR Plan approved. End-to-end DR test completed with documented RTO result. Customer notice issued to 14 enterprise customers.</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DR untested; RTO unknown (Gap G-06)</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 — Oct 2026</w:t>
            </w:r>
          </w:p>
        </w:tc>
        <w:tc>
          <w:tcPr>
            <w:tcW w:type="dxa" w:w="2060"/>
            <w:tcBorders>
              <w:top w:val="single" w:color="000000" w:sz="4"/>
              <w:left w:val="single" w:color="000000" w:sz="4"/>
              <w:bottom w:val="single" w:color="000000" w:sz="4"/>
              <w:right w:val="single" w:color="000000" w:sz="4"/>
            </w:tcBorders>
            <w:shd w:fill="FFEB9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 not yet started</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O-09</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Assess all Tier 1 vendors — including VaultArchive (backup archives)</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100% of Tier 1 vendors have a completed, current security assessment in ISMS-OPS-003. VaultArchive included.</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VaultArchive never assessed (Gap G-07). Assessment practice inconsistent.</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 Manager (interim)</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M-05 — Oct 2026</w:t>
            </w:r>
          </w:p>
        </w:tc>
        <w:tc>
          <w:tcPr>
            <w:tcW w:type="dxa" w:w="2060"/>
            <w:tcBorders>
              <w:top w:val="single" w:color="000000" w:sz="4"/>
              <w:left w:val="single" w:color="000000" w:sz="4"/>
              <w:bottom w:val="single" w:color="000000" w:sz="4"/>
              <w:right w:val="single" w:color="000000" w:sz="4"/>
            </w:tcBorders>
            <w:shd w:fill="FFEB9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 not yet started</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O-10</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first internal audit cycle and management review</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ISMS-PEV-005 Internal Audit Report approved. ISMS-PEV-008 Management Review Minutes approved. Zero overdue corrective actions at gate.</w:t>
            </w:r>
          </w:p>
        </w:tc>
        <w:tc>
          <w:tcPr>
            <w:tcW w:type="dxa" w:w="1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internal audit has been conducted to date</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5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M-06 — Dec 2026</w:t>
            </w:r>
          </w:p>
        </w:tc>
        <w:tc>
          <w:tcPr>
            <w:tcW w:type="dxa" w:w="2060"/>
            <w:tcBorders>
              <w:top w:val="single" w:color="000000" w:sz="4"/>
              <w:left w:val="single" w:color="000000" w:sz="4"/>
              <w:bottom w:val="single" w:color="000000" w:sz="4"/>
              <w:right w:val="single" w:color="000000" w:sz="4"/>
            </w:tcBorders>
            <w:shd w:fill="FFEB9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Baseline — not yet started</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O-11</w:t>
            </w:r>
          </w:p>
        </w:tc>
        <w:tc>
          <w:tcPr>
            <w:tcW w:type="dxa" w:w="2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Achieve ISO/IEC 27001:2022 Stage 2 certification</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ISMS-CRT-002 certificate issued following a successful Stage 2 audit with no major nonconformities.</w:t>
            </w:r>
          </w:p>
        </w:tc>
        <w:tc>
          <w:tcPr>
            <w:tcW w:type="dxa" w:w="1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Not started — programme launched February 2026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15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M-10 — Apr 2027</w:t>
            </w:r>
          </w:p>
        </w:tc>
        <w:tc>
          <w:tcPr>
            <w:tcW w:type="dxa" w:w="2060"/>
            <w:tcBorders>
              <w:top w:val="single" w:color="000000" w:sz="4"/>
              <w:left w:val="single" w:color="000000" w:sz="4"/>
              <w:bottom w:val="single" w:color="000000" w:sz="4"/>
              <w:right w:val="single" w:color="000000" w:sz="4"/>
            </w:tcBorders>
            <w:shd w:fill="DDEBF7"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Scheduled</w:t>
            </w:r>
          </w:p>
        </w:tc>
      </w:tr>
    </w:tbl>
    <w:p>
      <w:pPr>
        <w:pStyle w:val="Heading1"/>
        <w:spacing w:after="120" w:before="300"/>
      </w:pPr>
      <w:r>
        <w:rPr>
          <w:rFonts w:ascii="Aptos" w:cs="Aptos" w:eastAsia="Aptos" w:hAnsi="Aptos"/>
          <w:b/>
          <w:bCs/>
          <w:i w:val="false"/>
          <w:iCs w:val="false"/>
          <w:color w:val="000000"/>
          <w:sz w:val="36"/>
          <w:szCs w:val="36"/>
        </w:rPr>
        <w:t xml:space="preserve">4. Ongoing ISMS Objectives</w:t>
      </w:r>
    </w:p>
    <w:p>
      <w:pPr>
        <w:spacing w:after="140" w:before="0"/>
        <w:jc w:val="left"/>
      </w:pPr>
      <w:r>
        <w:rPr>
          <w:rFonts w:ascii="Aptos" w:cs="Aptos" w:eastAsia="Aptos" w:hAnsi="Aptos"/>
          <w:b w:val="false"/>
          <w:bCs w:val="false"/>
          <w:i w:val="false"/>
          <w:iCs w:val="false"/>
          <w:color w:val="000000"/>
          <w:sz w:val="24"/>
          <w:szCs w:val="24"/>
        </w:rPr>
        <w:t xml:space="preserve">These objectives continue after certification. They are what the ISMS is actually for — not just getting a certificate but running a security programme that makes a difference. They are reviewed and updated at each annual management review, with targets adjusted based on the previous year's performance.</w:t>
      </w:r>
    </w:p>
    <w:tbl>
      <w:tblPr>
        <w:tblW w:type="dxa" w:w="11360"/>
        <w:tblBorders>
          <w:top w:val="single" w:color="000000" w:sz="4"/>
          <w:left w:val="single" w:color="000000" w:sz="4"/>
          <w:bottom w:val="single" w:color="000000" w:sz="4"/>
          <w:right w:val="single" w:color="000000" w:sz="4"/>
          <w:insideH w:val="single" w:color="000000" w:sz="4"/>
          <w:insideV w:val="single" w:color="000000" w:sz="4"/>
        </w:tblBorders>
      </w:tblPr>
      <w:tblGrid>
        <w:gridCol w:w="600"/>
        <w:gridCol w:w="2400"/>
        <w:gridCol w:w="2200"/>
        <w:gridCol w:w="1200"/>
        <w:gridCol w:w="1200"/>
        <w:gridCol w:w="1600"/>
        <w:gridCol w:w="1200"/>
        <w:gridCol w:w="960"/>
      </w:tblGrid>
      <w:tr>
        <w:trPr>
          <w:cantSplit/>
          <w:tblHeader/>
        </w:trPr>
        <w:tc>
          <w:tcPr>
            <w:tcW w:type="dxa" w:w="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ID</w:t>
            </w:r>
          </w:p>
        </w:tc>
        <w:tc>
          <w:tcPr>
            <w:tcW w:type="dxa" w:w="24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Objective</w:t>
            </w:r>
          </w:p>
        </w:tc>
        <w:tc>
          <w:tcPr>
            <w:tcW w:type="dxa" w:w="2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Metric</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Target</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Baseline</w:t>
            </w:r>
          </w:p>
        </w:tc>
        <w:tc>
          <w:tcPr>
            <w:tcW w:type="dxa" w:w="16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Owner</w:t>
            </w:r>
          </w:p>
        </w:tc>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Reporting</w:t>
            </w:r>
          </w:p>
        </w:tc>
        <w:tc>
          <w:tcPr>
            <w:tcW w:type="dxa" w:w="96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Source</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OO-01</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Protect confidentiality, integrity and availability of patient data</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Confirmed breaches of Restricted-classified data (incidents that reach external notification)</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Zero confirmed breaches per year</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Zero confirmed breaches on record. Two near-misses (phishing, misconfiguration) — neither reached notification threshold.</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to Steering Committee</w:t>
            </w:r>
          </w:p>
        </w:tc>
        <w:tc>
          <w:tcPr>
            <w:tcW w:type="dxa" w:w="9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§16</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OO-02</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Keep identified high risks under active treatment</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of risks rated High or above that have an approved, actively progressing treatment plan</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90% within 90 days of identification</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risk register yet — baseline to be set at Phase 3 (M-03)</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96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§16</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OO-03</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Maintain regulatory and contractual compliance</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Unresolved compliance gaps at each internal audit cycle</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Zero unresolved gaps at each audit</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18 of 23 obligations currently have gaps (ISMS-INI-010). Target applies post-Phase 5.</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Omar Al Mansoori</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Annually + per audit</w:t>
            </w:r>
          </w:p>
        </w:tc>
        <w:tc>
          <w:tcPr>
            <w:tcW w:type="dxa" w:w="9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§16</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OO-04</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Maintain and improve security awareness across all staff</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of staff completing the mandatory annual security awareness training, per department</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95% per department annually</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~140 Engineering staff covered. ~290 not yet trained. Full roll-out at M-04.</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Priya Subramaniam</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 (during roll-out); Annually (post-certification)</w:t>
            </w:r>
          </w:p>
        </w:tc>
        <w:tc>
          <w:tcPr>
            <w:tcW w:type="dxa" w:w="96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§16</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OO-05</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Keep incident response plan tested and current</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Number of IR plan exercises per year (tabletop or live)</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 2 exercises per year</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Zero exercises conducted to date. First tabletop at M-05.</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Neha Choudhury</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Semi-annually</w:t>
            </w:r>
          </w:p>
        </w:tc>
        <w:tc>
          <w:tcPr>
            <w:tcW w:type="dxa" w:w="9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§6</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OO-06</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Keep DR tested with a known, evidenced RTO</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End-to-end DR test conducted annually. RTO achieved ≤ documented target.</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full DR test per year. RTO target to be set after the first test (M-05).</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DR untested. RTO unknown. First test at M-05.</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Sana Al Farsi</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Annually</w:t>
            </w:r>
          </w:p>
        </w:tc>
        <w:tc>
          <w:tcPr>
            <w:tcW w:type="dxa" w:w="96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§6</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OO-07</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Complete corrective actions within agreed timelines</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Internal audit findings open past their agreed corrective action due date</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Zero overdue findings at each Steering Committee meeting</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internal audit cycle completed yet. Baseline to be set after Phase 6.</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9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§16</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OO-08</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Reduce the security questionnaire burden on Sales and Customer Success</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Average time to respond to a new enterprise security questionnaire</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Response time reduced to ≤ 5 business days post-certification (from current multi-week average)</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No formal tracking exists. Feedback from Sales confirms current response time is 2–4 weeks and unacceptable.</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Karan Bhatia / Divya Nair</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96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§6</w:t>
            </w:r>
          </w:p>
        </w:tc>
      </w:tr>
      <w:tr>
        <w:trPr>
          <w:cantSplit/>
        </w:trPr>
        <w:tc>
          <w:tcPr>
            <w:tcW w:type="dxa" w:w="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OO-09</w:t>
            </w:r>
          </w:p>
        </w:tc>
        <w:tc>
          <w:tcPr>
            <w:tcW w:type="dxa" w:w="24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Demonstrate control maturity at cyber insurance renewal</w:t>
            </w:r>
          </w:p>
        </w:tc>
        <w:tc>
          <w:tcPr>
            <w:tcW w:type="dxa" w:w="2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Insurance renewal terms — premium movement or coverage improvement vs. prior year</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Flat or improved premium at next renewal. Improved coverage terms.</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Renewal falls during the engagement. No benchmarked baseline available.</w:t>
            </w:r>
          </w:p>
        </w:tc>
        <w:tc>
          <w:tcPr>
            <w:tcW w:type="dxa" w:w="16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Rajesh Menon</w:t>
            </w:r>
          </w:p>
        </w:tc>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At renewal</w:t>
            </w:r>
          </w:p>
        </w:tc>
        <w:tc>
          <w:tcPr>
            <w:tcW w:type="dxa" w:w="96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§6</w:t>
            </w:r>
          </w:p>
        </w:tc>
      </w:tr>
      <w:tr>
        <w:trPr>
          <w:cantSplit/>
        </w:trPr>
        <w:tc>
          <w:tcPr>
            <w:tcW w:type="dxa" w:w="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OO-10</w:t>
            </w:r>
          </w:p>
        </w:tc>
        <w:tc>
          <w:tcPr>
            <w:tcW w:type="dxa" w:w="24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Maintain ISMS governance — Steering Committee meets on schedule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Steering Committee meetings held on schedule. Management reviews documented.</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100% of scheduled meetings held. 100% of management reviews documented.</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First Steering Committee meeting 1 April 2026. No prior ISMS governance.</w:t>
            </w:r>
          </w:p>
        </w:tc>
        <w:tc>
          <w:tcPr>
            <w:tcW w:type="dxa" w:w="16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Quarterly</w:t>
            </w:r>
          </w:p>
        </w:tc>
        <w:tc>
          <w:tcPr>
            <w:tcW w:type="dxa" w:w="96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ISMS-CSD-001 §16</w:t>
            </w:r>
          </w:p>
        </w:tc>
      </w:tr>
    </w:tbl>
    <w:p>
      <w:pPr>
        <w:pStyle w:val="Heading1"/>
        <w:spacing w:after="120" w:before="300"/>
      </w:pPr>
      <w:r>
        <w:rPr>
          <w:rFonts w:ascii="Aptos" w:cs="Aptos" w:eastAsia="Aptos" w:hAnsi="Aptos"/>
          <w:b/>
          <w:bCs/>
          <w:i w:val="false"/>
          <w:iCs w:val="false"/>
          <w:color w:val="000000"/>
          <w:sz w:val="36"/>
          <w:szCs w:val="36"/>
        </w:rPr>
        <w:t xml:space="preserve">5. Mapping to Policy Commitments</w:t>
      </w:r>
    </w:p>
    <w:p>
      <w:pPr>
        <w:spacing w:after="140" w:before="0"/>
        <w:jc w:val="left"/>
      </w:pPr>
      <w:r>
        <w:rPr>
          <w:rFonts w:ascii="Aptos" w:cs="Aptos" w:eastAsia="Aptos" w:hAnsi="Aptos"/>
          <w:b w:val="false"/>
          <w:bCs w:val="false"/>
          <w:i w:val="false"/>
          <w:iCs w:val="false"/>
          <w:color w:val="000000"/>
          <w:sz w:val="24"/>
          <w:szCs w:val="24"/>
        </w:rPr>
        <w:t xml:space="preserve">ISO/IEC 27001:2022 Clause 6.2 requires that objectives are consistent with the information security policy. This table confirms the mapping — every objective traces to a specific commitment in ISMS-LDR-001.</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1200"/>
        <w:gridCol w:w="4800"/>
        <w:gridCol w:w="4080"/>
      </w:tblGrid>
      <w:tr>
        <w:trPr>
          <w:cantSplit/>
          <w:tblHeader/>
        </w:trPr>
        <w:tc>
          <w:tcPr>
            <w:tcW w:type="dxa" w:w="1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Objective(s)</w:t>
            </w:r>
          </w:p>
        </w:tc>
        <w:tc>
          <w:tcPr>
            <w:tcW w:type="dxa" w:w="48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Policy commitment (ISMS-LDR-001)</w:t>
            </w:r>
          </w:p>
        </w:tc>
        <w:tc>
          <w:tcPr>
            <w:tcW w:type="dxa" w:w="40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Clause reference</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OO-01, O-05</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Protect patient and customer data — confidentiality, integrity and availability of Restricted-classified data.</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Section 3, Objective 1</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OO-02, O-04</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 our legal and contractual obligations — including risk management requirements under ISO 27001 Clause 6.1.</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Section 3, Objective 2</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OO-03, O-09</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Meet our legal and contractual obligations — DPDP Act, UAE PDPL, enterprise contracts.</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Section 3, Objective 2</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OO-05, O-07</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Maintain operational availability — disruptions minimised; recovery within RTO/RPO targets.</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Section 3, Objective 3</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OO-06, O-08</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Maintain operational availability — BCDR plan tested, RTO known.</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Section 3, Objective 3</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OO-04, O-06</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Security awareness across all departments — not just Engineering.</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Section 5.8</w:t>
            </w:r>
          </w:p>
        </w:tc>
      </w:tr>
      <w:tr>
        <w:trPr>
          <w:cantSplit/>
        </w:trPr>
        <w:tc>
          <w:tcPr>
            <w:tcW w:type="dxa" w:w="1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OO-07, OO-10, O-10</w:t>
            </w:r>
          </w:p>
        </w:tc>
        <w:tc>
          <w:tcPr>
            <w:tcW w:type="dxa" w:w="48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Improve our security posture continuously — internal audit findings closed, governance on schedule.</w:t>
            </w:r>
          </w:p>
        </w:tc>
        <w:tc>
          <w:tcPr>
            <w:tcW w:type="dxa" w:w="40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Section 3, Objective 4</w:t>
            </w:r>
          </w:p>
        </w:tc>
      </w:tr>
      <w:tr>
        <w:trPr>
          <w:cantSplit/>
        </w:trPr>
        <w:tc>
          <w:tcPr>
            <w:tcW w:type="dxa" w:w="1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O-11</w:t>
            </w:r>
          </w:p>
        </w:tc>
        <w:tc>
          <w:tcPr>
            <w:tcW w:type="dxa" w:w="48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All of the above — certification is the milestone, not the end state.</w:t>
            </w:r>
          </w:p>
        </w:tc>
        <w:tc>
          <w:tcPr>
            <w:tcW w:type="dxa" w:w="40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ISMS-LDR-001 Section 3 (all objectives)</w:t>
            </w:r>
          </w:p>
        </w:tc>
      </w:tr>
    </w:tbl>
    <w:p>
      <w:pPr>
        <w:pStyle w:val="Heading1"/>
        <w:spacing w:after="120" w:before="300"/>
      </w:pPr>
      <w:r>
        <w:rPr>
          <w:rFonts w:ascii="Aptos" w:cs="Aptos" w:eastAsia="Aptos" w:hAnsi="Aptos"/>
          <w:b/>
          <w:bCs/>
          <w:i w:val="false"/>
          <w:iCs w:val="false"/>
          <w:color w:val="000000"/>
          <w:sz w:val="36"/>
          <w:szCs w:val="36"/>
        </w:rPr>
        <w:t xml:space="preserve">6. Reporting and Escalation</w:t>
      </w:r>
    </w:p>
    <w:p>
      <w:pPr>
        <w:pStyle w:val="Heading2"/>
        <w:spacing w:after="100" w:before="200"/>
      </w:pPr>
      <w:r>
        <w:rPr>
          <w:rFonts w:ascii="Aptos" w:cs="Aptos" w:eastAsia="Aptos" w:hAnsi="Aptos"/>
          <w:b/>
          <w:bCs/>
          <w:i w:val="false"/>
          <w:iCs w:val="false"/>
          <w:color w:val="000000"/>
          <w:sz w:val="32"/>
          <w:szCs w:val="32"/>
        </w:rPr>
        <w:t xml:space="preserve">6.1 Quarterly Steering Committee report</w:t>
      </w:r>
    </w:p>
    <w:p>
      <w:pPr>
        <w:spacing w:after="140" w:before="0"/>
        <w:jc w:val="left"/>
      </w:pPr>
      <w:r>
        <w:rPr>
          <w:rFonts w:ascii="Aptos" w:cs="Aptos" w:eastAsia="Aptos" w:hAnsi="Aptos"/>
          <w:b w:val="false"/>
          <w:bCs w:val="false"/>
          <w:i w:val="false"/>
          <w:iCs w:val="false"/>
          <w:color w:val="000000"/>
          <w:sz w:val="24"/>
          <w:szCs w:val="24"/>
        </w:rPr>
        <w:t xml:space="preserve">At each quarterly Steering Committee meeting, the ISMS Manager prepares an objectives status table — each objective ID, its current metric value, whether it is on track, and any risk to the target. This is not a detailed narrative — it is a RAG-status table with commentary only where something is amber or red.</w:t>
      </w:r>
    </w:p>
    <w:p>
      <w:pPr>
        <w:spacing w:after="140" w:before="0"/>
        <w:jc w:val="left"/>
      </w:pPr>
      <w:r>
        <w:rPr>
          <w:rFonts w:ascii="Aptos" w:cs="Aptos" w:eastAsia="Aptos" w:hAnsi="Aptos"/>
          <w:b w:val="false"/>
          <w:bCs w:val="false"/>
          <w:i w:val="false"/>
          <w:iCs w:val="false"/>
          <w:color w:val="000000"/>
          <w:sz w:val="24"/>
          <w:szCs w:val="24"/>
        </w:rPr>
        <w:t xml:space="preserve">The Steering Committee receives the report, not a presentation. If an objective is off track, the relevant owner attends to explain the position and what is being done.</w:t>
      </w:r>
    </w:p>
    <w:p>
      <w:pPr>
        <w:pStyle w:val="Heading2"/>
        <w:spacing w:after="100" w:before="200"/>
      </w:pPr>
      <w:r>
        <w:rPr>
          <w:rFonts w:ascii="Aptos" w:cs="Aptos" w:eastAsia="Aptos" w:hAnsi="Aptos"/>
          <w:b/>
          <w:bCs/>
          <w:i w:val="false"/>
          <w:iCs w:val="false"/>
          <w:color w:val="000000"/>
          <w:sz w:val="32"/>
          <w:szCs w:val="32"/>
        </w:rPr>
        <w:t xml:space="preserve">6.2 Escalation</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3200"/>
        <w:gridCol w:w="6880"/>
      </w:tblGrid>
      <w:tr>
        <w:trPr>
          <w:cantSplit/>
          <w:tblHeader/>
        </w:trPr>
        <w:tc>
          <w:tcPr>
            <w:tcW w:type="dxa" w:w="32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Situation</w:t>
            </w:r>
          </w:p>
        </w:tc>
        <w:tc>
          <w:tcPr>
            <w:tcW w:type="dxa" w:w="6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Escalation</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 objective is at risk of missing its target by a small margin — resolvable within the function</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Owner resolves with support from the ISMS Manager. Noted in the next quarterly report.</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 objective is at risk of missing a milestone gate (M-01 through M-10)</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Immediate escalation to CISO. Out-of-cycle Steering Committee meeting if the critical path is affected.</w:t>
            </w:r>
          </w:p>
        </w:tc>
      </w:tr>
      <w:tr>
        <w:trPr>
          <w:cantSplit/>
        </w:trPr>
        <w:tc>
          <w:tcPr>
            <w:tcW w:type="dxa" w:w="32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 objective target needs to be changed (e.g., baseline turns out to be different from assumed)</w:t>
            </w:r>
          </w:p>
        </w:tc>
        <w:tc>
          <w:tcPr>
            <w:tcW w:type="dxa" w:w="6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CISO reviews. If the change is material, Steering Committee approval required. This document is reissued at the next version.</w:t>
            </w:r>
          </w:p>
        </w:tc>
      </w:tr>
      <w:tr>
        <w:trPr>
          <w:cantSplit/>
        </w:trPr>
        <w:tc>
          <w:tcPr>
            <w:tcW w:type="dxa" w:w="32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 ongoing objective consistently misses target across two consecutive reviews</w:t>
            </w:r>
          </w:p>
        </w:tc>
        <w:tc>
          <w:tcPr>
            <w:tcW w:type="dxa" w:w="6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Reviewed at the next management review cycle. Corrective action opened in ISMS-IMP-004.</w:t>
            </w:r>
          </w:p>
        </w:tc>
      </w:tr>
    </w:tbl>
    <w:p>
      <w:pPr>
        <w:pStyle w:val="Heading2"/>
        <w:spacing w:after="100" w:before="200"/>
      </w:pPr>
      <w:r>
        <w:rPr>
          <w:rFonts w:ascii="Aptos" w:cs="Aptos" w:eastAsia="Aptos" w:hAnsi="Aptos"/>
          <w:b/>
          <w:bCs/>
          <w:i w:val="false"/>
          <w:iCs w:val="false"/>
          <w:color w:val="000000"/>
          <w:sz w:val="32"/>
          <w:szCs w:val="32"/>
        </w:rPr>
        <w:t xml:space="preserve">6.3 Dashboard</w:t>
      </w:r>
    </w:p>
    <w:p>
      <w:pPr>
        <w:spacing w:after="140" w:before="0"/>
        <w:jc w:val="left"/>
      </w:pPr>
      <w:r>
        <w:rPr>
          <w:rFonts w:ascii="Aptos" w:cs="Aptos" w:eastAsia="Aptos" w:hAnsi="Aptos"/>
          <w:b w:val="false"/>
          <w:bCs w:val="false"/>
          <w:i w:val="false"/>
          <w:iCs w:val="false"/>
          <w:color w:val="000000"/>
          <w:sz w:val="24"/>
          <w:szCs w:val="24"/>
        </w:rPr>
        <w:t xml:space="preserve">From Phase 10, the Power BI Executive ISMS Dashboard (ISMS-CRT-004) will include an objectives status view. During the implementation period (Phases 1–9), objectives status is reported via the quarterly Steering Committee pack produced by the ISMS Manager.</w:t>
      </w:r>
    </w:p>
    <w:p>
      <w:pPr>
        <w:pStyle w:val="Heading1"/>
        <w:spacing w:after="120" w:before="300"/>
      </w:pPr>
      <w:r>
        <w:rPr>
          <w:rFonts w:ascii="Aptos" w:cs="Aptos" w:eastAsia="Aptos" w:hAnsi="Aptos"/>
          <w:b/>
          <w:bCs/>
          <w:i w:val="false"/>
          <w:iCs w:val="false"/>
          <w:color w:val="000000"/>
          <w:sz w:val="36"/>
          <w:szCs w:val="36"/>
        </w:rPr>
        <w:t xml:space="preserve">7. Objective Review and Updates</w:t>
      </w:r>
    </w:p>
    <w:p>
      <w:pPr>
        <w:spacing w:after="140" w:before="0"/>
        <w:jc w:val="left"/>
      </w:pPr>
      <w:r>
        <w:rPr>
          <w:rFonts w:ascii="Aptos" w:cs="Aptos" w:eastAsia="Aptos" w:hAnsi="Aptos"/>
          <w:b w:val="false"/>
          <w:bCs w:val="false"/>
          <w:i w:val="false"/>
          <w:iCs w:val="false"/>
          <w:color w:val="000000"/>
          <w:sz w:val="24"/>
          <w:szCs w:val="24"/>
        </w:rPr>
        <w:t xml:space="preserve">Objectives are reviewed at each annual management review (ISMS-PEV-008). At that review:</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Performance against each objective in Section 4 is assessed — met, partially met, or not met.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Targets are adjusted if the operating environment has changed materially (new regulations, new products, a significant incident).</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New objectives may be added, and objectives that have served their purpose may be retired.</w:t>
      </w:r>
    </w:p>
    <w:p>
      <w:pPr>
        <w:pStyle w:val="ListParagraph"/>
        <w:numPr>
          <w:ilvl w:val="0"/>
          <w:numId w:val="1"/>
        </w:numPr>
        <w:spacing w:after="80"/>
      </w:pPr>
      <w:r>
        <w:rPr>
          <w:rFonts w:ascii="Aptos" w:cs="Aptos" w:eastAsia="Aptos" w:hAnsi="Aptos"/>
          <w:b w:val="false"/>
          <w:bCs w:val="false"/>
          <w:i w:val="false"/>
          <w:iCs w:val="false"/>
          <w:color w:val="000000"/>
          <w:sz w:val="24"/>
          <w:szCs w:val="24"/>
        </w:rPr>
        <w:t xml:space="preserve">Any change to a target, metric or owner requires a new version of this document. The version history records what changed and why.</w:t>
      </w:r>
    </w:p>
    <w:p>
      <w:pPr>
        <w:spacing w:after="140" w:before="60"/>
        <w:jc w:val="left"/>
      </w:pPr>
      <w:r>
        <w:rPr>
          <w:rFonts w:ascii="Aptos" w:cs="Aptos" w:eastAsia="Aptos" w:hAnsi="Aptos"/>
          <w:b w:val="false"/>
          <w:bCs w:val="false"/>
          <w:i w:val="false"/>
          <w:iCs w:val="false"/>
          <w:color w:val="000000"/>
          <w:sz w:val="24"/>
          <w:szCs w:val="24"/>
        </w:rPr>
        <w:t xml:space="preserve">Implementation-period objectives (Section 3) transition to ongoing objectives or are closed at certification. O-11 (certification) becomes a surveillance-cycle objective from Phase 10 onward.</w:t>
      </w:r>
    </w:p>
    <w:p>
      <w:pPr>
        <w:pStyle w:val="Heading1"/>
        <w:spacing w:after="120" w:before="300"/>
      </w:pPr>
      <w:r>
        <w:rPr>
          <w:rFonts w:ascii="Aptos" w:cs="Aptos" w:eastAsia="Aptos" w:hAnsi="Aptos"/>
          <w:b/>
          <w:bCs/>
          <w:i w:val="false"/>
          <w:iCs w:val="false"/>
          <w:color w:val="000000"/>
          <w:sz w:val="36"/>
          <w:szCs w:val="36"/>
        </w:rPr>
        <w:t xml:space="preserve">8. Approval</w:t>
      </w:r>
    </w:p>
    <w:tbl>
      <w:tblPr>
        <w:tblW w:type="dxa" w:w="10080"/>
        <w:tblBorders>
          <w:top w:val="single" w:color="000000" w:sz="4"/>
          <w:left w:val="single" w:color="000000" w:sz="4"/>
          <w:bottom w:val="single" w:color="000000" w:sz="4"/>
          <w:right w:val="single" w:color="000000" w:sz="4"/>
          <w:insideH w:val="single" w:color="000000" w:sz="4"/>
          <w:insideV w:val="single" w:color="000000" w:sz="4"/>
        </w:tblBorders>
      </w:tblPr>
      <w:tblGrid>
        <w:gridCol w:w="2300"/>
        <w:gridCol w:w="2900"/>
        <w:gridCol w:w="3000"/>
        <w:gridCol w:w="1880"/>
      </w:tblGrid>
      <w:tr>
        <w:trPr>
          <w:cantSplit/>
          <w:tblHeader/>
        </w:trPr>
        <w:tc>
          <w:tcPr>
            <w:tcW w:type="dxa" w:w="23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Name</w:t>
            </w:r>
          </w:p>
        </w:tc>
        <w:tc>
          <w:tcPr>
            <w:tcW w:type="dxa" w:w="29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Role</w:t>
            </w:r>
          </w:p>
        </w:tc>
        <w:tc>
          <w:tcPr>
            <w:tcW w:type="dxa" w:w="300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Decision</w:t>
            </w:r>
          </w:p>
        </w:tc>
        <w:tc>
          <w:tcPr>
            <w:tcW w:type="dxa" w:w="1880"/>
            <w:tcBorders>
              <w:top w:val="single" w:color="000000" w:sz="4"/>
              <w:left w:val="single" w:color="000000" w:sz="4"/>
              <w:bottom w:val="single" w:color="000000" w:sz="4"/>
              <w:right w:val="single" w:color="000000" w:sz="4"/>
            </w:tcBorders>
            <w:shd w:fill="E3D6A8" w:color="auto" w:val="clear"/>
            <w:tcMar>
              <w:top w:type="dxa" w:w="80"/>
              <w:left w:type="dxa" w:w="120"/>
              <w:bottom w:type="dxa" w:w="80"/>
              <w:right w:type="dxa" w:w="120"/>
            </w:tcMar>
            <w:vAlign w:val="center"/>
          </w:tcPr>
          <w:p>
            <w:pPr>
              <w:spacing w:after="0"/>
              <w:jc w:val="center"/>
            </w:pPr>
            <w:r>
              <w:rPr>
                <w:rFonts w:ascii="Aptos" w:cs="Aptos" w:eastAsia="Aptos" w:hAnsi="Aptos"/>
                <w:b/>
                <w:bCs/>
                <w:i w:val="false"/>
                <w:iCs w:val="false"/>
                <w:color w:val="000000"/>
                <w:sz w:val="24"/>
                <w:szCs w:val="24"/>
              </w:rPr>
              <w:t xml:space="preserve">Date</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Vikram Sundaram</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Information Security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Document owner — prepared and recommended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28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Meera Iyer</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Head of GRC &amp; Compliance / ISMS Manager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Metrics and milestone alignment confirmed</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30 Mar 2026</w:t>
            </w:r>
          </w:p>
        </w:tc>
      </w:tr>
      <w:tr>
        <w:trPr>
          <w:cantSplit/>
        </w:trPr>
        <w:tc>
          <w:tcPr>
            <w:tcW w:type="dxa" w:w="23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Farhan Ahmed</w:t>
            </w:r>
          </w:p>
        </w:tc>
        <w:tc>
          <w:tcPr>
            <w:tcW w:type="dxa" w:w="29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Operating Officer</w:t>
            </w:r>
          </w:p>
        </w:tc>
        <w:tc>
          <w:tcPr>
            <w:tcW w:type="dxa" w:w="300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Resource implications confirmed</w:t>
            </w:r>
          </w:p>
        </w:tc>
        <w:tc>
          <w:tcPr>
            <w:tcW w:type="dxa" w:w="1880"/>
            <w:tcBorders>
              <w:top w:val="single" w:color="000000" w:sz="4"/>
              <w:left w:val="single" w:color="000000" w:sz="4"/>
              <w:bottom w:val="single" w:color="000000" w:sz="4"/>
              <w:right w:val="single" w:color="000000" w:sz="4"/>
            </w:tcBorders>
            <w:shd w:fill="F6F0DC"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31 Mar 2026</w:t>
            </w:r>
          </w:p>
        </w:tc>
      </w:tr>
      <w:tr>
        <w:trPr>
          <w:cantSplit/>
        </w:trPr>
        <w:tc>
          <w:tcPr>
            <w:tcW w:type="dxa" w:w="23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Ananya Rao</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Chief Executive Officer</w:t>
            </w:r>
          </w:p>
        </w:tc>
        <w:tc>
          <w:tcPr>
            <w:tcW w:type="dxa" w:w="300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Approved on behalf of the ISMS Steering Committee</w:t>
            </w:r>
          </w:p>
        </w:tc>
        <w:tc>
          <w:tcPr>
            <w:tcW w:type="dxa" w:w="1880"/>
            <w:tcBorders>
              <w:top w:val="single" w:color="000000" w:sz="4"/>
              <w:left w:val="single" w:color="000000" w:sz="4"/>
              <w:bottom w:val="single" w:color="000000" w:sz="4"/>
              <w:right w:val="single" w:color="000000" w:sz="4"/>
            </w:tcBorders>
            <w:shd w:fill="FFFFFF" w:color="auto" w:val="clear"/>
            <w:tcMar>
              <w:top w:type="dxa" w:w="80"/>
              <w:left w:type="dxa" w:w="120"/>
              <w:bottom w:type="dxa" w:w="80"/>
              <w:right w:type="dxa" w:w="120"/>
            </w:tcMar>
            <w:vAlign w:val="center"/>
          </w:tcPr>
          <w:p>
            <w:pPr>
              <w:spacing w:after="0"/>
              <w:jc w:val="left"/>
            </w:pPr>
            <w:r>
              <w:rPr>
                <w:rFonts w:ascii="Aptos" w:cs="Aptos" w:eastAsia="Aptos" w:hAnsi="Aptos"/>
                <w:b w:val="false"/>
                <w:bCs w:val="false"/>
                <w:i w:val="false"/>
                <w:iCs w:val="false"/>
                <w:color w:val="000000"/>
                <w:sz w:val="24"/>
                <w:szCs w:val="24"/>
              </w:rPr>
              <w:t xml:space="preserve">1 Apr 2026</w:t>
            </w:r>
          </w:p>
        </w:tc>
      </w:tr>
    </w:tbl>
    <w:p>
      <w:pPr>
        <w:keepNext/>
        <w:spacing w:after="80" w:before="280"/>
      </w:pPr>
      <w:r>
        <w:rPr>
          <w:rFonts w:ascii="Aptos" w:cs="Aptos" w:eastAsia="Aptos" w:hAnsi="Aptos"/>
          <w:b w:val="false"/>
          <w:bCs w:val="false"/>
          <w:i w:val="false"/>
          <w:iCs w:val="false"/>
          <w:color w:val="000000"/>
          <w:sz w:val="24"/>
          <w:szCs w:val="24"/>
        </w:rPr>
        <w:t xml:space="preserve">Signature: ______________________________________     Date: _________________________</w:t>
      </w:r>
    </w:p>
    <w:p>
      <w:pPr>
        <w:spacing w:after="80"/>
      </w:pPr>
      <w:r>
        <w:rPr>
          <w:rFonts w:ascii="Aptos" w:cs="Aptos" w:eastAsia="Aptos" w:hAnsi="Aptos"/>
          <w:b w:val="false"/>
          <w:bCs w:val="false"/>
          <w:i/>
          <w:iCs/>
          <w:color w:val="000000"/>
          <w:sz w:val="24"/>
          <w:szCs w:val="24"/>
        </w:rPr>
        <w:t xml:space="preserve">Ananya Rao, Chief Executive Officer</w:t>
      </w:r>
    </w:p>
    <w:p>
      <w:pPr>
        <w:spacing w:after="200"/>
      </w:pPr>
      <w:r>
        <w:rPr>
          <w:rFonts w:ascii="Aptos" w:cs="Aptos" w:eastAsia="Aptos" w:hAnsi="Aptos"/>
          <w:b w:val="false"/>
          <w:bCs w:val="false"/>
          <w:i/>
          <w:iCs/>
          <w:color w:val="000000"/>
          <w:sz w:val="24"/>
          <w:szCs w:val="24"/>
        </w:rPr>
        <w:t xml:space="preserve">MediSync Technologies Pvt. Ltd.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20"/>
        <w:szCs w:val="20"/>
      </w:rPr>
      <w:t xml:space="preserve">MediSync Technologies Pvt. Ltd.  ·  Confidential — Internal Use Only  ·  Page </w:t>
    </w:r>
    <w:r>
      <w:rPr>
        <w:rFonts w:ascii="Aptos" w:cs="Aptos" w:eastAsia="Aptos" w:hAnsi="Aptos"/>
        <w:sz w:val="20"/>
        <w:szCs w:val="20"/>
      </w:rPr>
      <w:fldChar w:fldCharType="begin"/>
      <w:instrText xml:space="preserve">PAGE</w:instrText>
      <w:fldChar w:fldCharType="separate"/>
      <w:fldChar w:fldCharType="end"/>
    </w:r>
    <w:r>
      <w:rPr>
        <w:rFonts w:ascii="Aptos" w:cs="Aptos" w:eastAsia="Aptos" w:hAnsi="Aptos"/>
        <w:color w:val="000000"/>
        <w:sz w:val="20"/>
        <w:szCs w:val="20"/>
      </w:rPr>
      <w:t xml:space="preserve"> of </w:t>
    </w:r>
    <w:r>
      <w:rPr>
        <w:rFonts w:ascii="Aptos" w:cs="Aptos" w:eastAsia="Aptos" w:hAnsi="Apto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i/>
        <w:iCs/>
        <w:color w:val="000000"/>
        <w:sz w:val="20"/>
        <w:szCs w:val="20"/>
      </w:rPr>
      <w:t xml:space="preserve">ISMS-LDR-002  |  IS Objectives Document  |  Project HealthSec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ptos" w:cs="Aptos" w:eastAsia="Aptos" w:hAnsi="Aptos"/>
      <w:b/>
      <w:bCs/>
      <w:color w:val="000000"/>
      <w:sz w:val="36"/>
      <w:szCs w:val="36"/>
    </w:rPr>
  </w:style>
  <w:style w:type="paragraph" w:styleId="Heading2">
    <w:name w:val="Heading 2"/>
    <w:basedOn w:val="Normal"/>
    <w:next w:val="Normal"/>
    <w:qFormat/>
    <w:rPr>
      <w:rFonts w:ascii="Aptos" w:cs="Aptos" w:eastAsia="Aptos" w:hAnsi="Aptos"/>
      <w:b/>
      <w:bCs/>
      <w:color w:val="000000"/>
      <w:sz w:val="32"/>
      <w:szCs w:val="3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2026-08-24T09:12:15.502Z</dcterms:created>
  <dcterms:modified xsi:type="dcterms:W3CDTF">2026-08-24T09:12:15.518Z</dcterms:modified>
</cp:coreProperties>
</file>

<file path=docProps/custom.xml><?xml version="1.0" encoding="utf-8"?>
<Properties xmlns="http://schemas.openxmlformats.org/officeDocument/2006/custom-properties" xmlns:vt="http://schemas.openxmlformats.org/officeDocument/2006/docPropsVTypes"/>
</file>