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LEADERSHIP COMMITMENT MEETING — MINUTES</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Leadership Commitment Meeting Minutes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ISMS-LDR-009</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5.1 — Leadership and Commitment; Clause 9.3 — Management Review (precursor)</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2 — Leadership (Clause 5), Item 9 of 9</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Circulated and Confirmed by Attendees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Head of GRC &amp; Compliance / ISMS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April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Time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14:00–16:30 IST (10:30–13:00 GST — Dubai joined remotely)</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Meeting Format</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Hybrid — Bengaluru boardroom (primary) + video link for Dubai</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Minutes Recorded By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Minutes Confirmed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 (CEO) and Vikram Sundaram (CISO)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April 2026</w:t>
            </w:r>
          </w:p>
        </w:tc>
      </w:tr>
    </w:tbl>
    <w:p>
      <w:pPr>
        <w:spacing w:after="180" w:before="140"/>
      </w:pPr>
      <w:r>
        <w:rPr>
          <w:rFonts w:ascii="Aptos" w:cs="Aptos" w:eastAsia="Aptos" w:hAnsi="Aptos"/>
          <w:b w:val="false"/>
          <w:bCs w:val="false"/>
          <w:i/>
          <w:iCs/>
          <w:color w:val="000000"/>
          <w:sz w:val="24"/>
          <w:szCs w:val="24"/>
        </w:rPr>
        <w:t xml:space="preserve">These minutes are a controlled document. They constitute evidence of senior leadership commitment to the ISMS under ISO/IEC 27001:2022 Clause 5.1, and serve as precursor evidence for the first formal Management Review scheduled in October 2026.</w:t>
      </w:r>
    </w:p>
    <w:p>
      <w:pPr>
        <w:pStyle w:val="Heading1"/>
        <w:spacing w:after="120" w:before="300"/>
      </w:pPr>
      <w:r>
        <w:rPr>
          <w:rFonts w:ascii="Aptos" w:cs="Aptos" w:eastAsia="Aptos" w:hAnsi="Aptos"/>
          <w:b/>
          <w:bCs/>
          <w:i w:val="false"/>
          <w:iCs w:val="false"/>
          <w:color w:val="000000"/>
          <w:sz w:val="36"/>
          <w:szCs w:val="36"/>
        </w:rPr>
        <w:t xml:space="preserve">1. Attendees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3000"/>
        <w:gridCol w:w="2200"/>
        <w:gridCol w:w="20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Location</w:t>
            </w:r>
          </w:p>
        </w:tc>
        <w:tc>
          <w:tcPr>
            <w:tcW w:type="dxa" w:w="2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 Chair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Ridhima Kapoor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CTO</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COO</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Rajesh Menon</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CFO</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Legal &amp; Compliance (UAE)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Dubai (remote)</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HR</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w:t>
            </w:r>
          </w:p>
        </w:tc>
        <w:tc>
          <w:tcPr>
            <w:tcW w:type="dxa" w:w="2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(Items 3–4 only)</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Advait Deshmukh</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VP Engineering</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Pune (remote)</w:t>
            </w:r>
          </w:p>
        </w:tc>
        <w:tc>
          <w:tcPr>
            <w:tcW w:type="dxa" w:w="2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Present (Item 3 only)</w:t>
            </w:r>
          </w:p>
        </w:tc>
      </w:tr>
    </w:tbl>
    <w:p>
      <w:pPr>
        <w:pStyle w:val="Heading1"/>
        <w:spacing w:after="120" w:before="300"/>
      </w:pPr>
      <w:r>
        <w:rPr>
          <w:rFonts w:ascii="Aptos" w:cs="Aptos" w:eastAsia="Aptos" w:hAnsi="Aptos"/>
          <w:b/>
          <w:bCs/>
          <w:i w:val="false"/>
          <w:iCs w:val="false"/>
          <w:color w:val="000000"/>
          <w:sz w:val="36"/>
          <w:szCs w:val="36"/>
        </w:rPr>
        <w:t xml:space="preserve">2. Agenda</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5400"/>
        <w:gridCol w:w="38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Item</w:t>
            </w:r>
          </w:p>
        </w:tc>
        <w:tc>
          <w:tcPr>
            <w:tcW w:type="dxa" w:w="5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Topic</w:t>
            </w:r>
          </w:p>
        </w:tc>
        <w:tc>
          <w:tcPr>
            <w:tcW w:type="dxa" w:w="3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5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2 deliverable review — policy suite approved and published</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5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objectives — baseline set and reporting cadence confirmed</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5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Roles and Security Champions — Phase 2 commitments confirmed</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COO / CISO</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5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programme — roll-out plan and M-04 target confirmed</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HR</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w:t>
            </w:r>
          </w:p>
        </w:tc>
        <w:tc>
          <w:tcPr>
            <w:tcW w:type="dxa" w:w="5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launch — risk assessment planning and resource confirmation</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 ISMS Manager</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5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Open issues and escalations from Phase 1</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w:t>
            </w:r>
          </w:p>
        </w:tc>
        <w:tc>
          <w:tcPr>
            <w:tcW w:type="dxa" w:w="5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Decisions, actions and next steps</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w:t>
            </w:r>
          </w:p>
        </w:tc>
      </w:tr>
    </w:tbl>
    <w:p>
      <w:pPr>
        <w:pStyle w:val="Heading1"/>
        <w:spacing w:after="120" w:before="300"/>
      </w:pPr>
      <w:r>
        <w:rPr>
          <w:rFonts w:ascii="Aptos" w:cs="Aptos" w:eastAsia="Aptos" w:hAnsi="Aptos"/>
          <w:b/>
          <w:bCs/>
          <w:i w:val="false"/>
          <w:iCs w:val="false"/>
          <w:color w:val="000000"/>
          <w:sz w:val="36"/>
          <w:szCs w:val="36"/>
        </w:rPr>
        <w:t xml:space="preserve">3. Discussion and Minutes</w:t>
      </w:r>
    </w:p>
    <w:p>
      <w:pPr>
        <w:pStyle w:val="Heading2"/>
        <w:spacing w:after="100" w:before="200"/>
      </w:pPr>
      <w:r>
        <w:rPr>
          <w:rFonts w:ascii="Aptos" w:cs="Aptos" w:eastAsia="Aptos" w:hAnsi="Aptos"/>
          <w:b/>
          <w:bCs/>
          <w:i w:val="false"/>
          <w:iCs w:val="false"/>
          <w:color w:val="000000"/>
          <w:sz w:val="32"/>
          <w:szCs w:val="32"/>
        </w:rPr>
        <w:t xml:space="preserve">Item 1 — Phase 2 deliverable review</w:t>
      </w:r>
    </w:p>
    <w:p>
      <w:pPr>
        <w:spacing w:after="140" w:before="0"/>
        <w:jc w:val="left"/>
      </w:pPr>
      <w:r>
        <w:rPr>
          <w:rFonts w:ascii="Aptos" w:cs="Aptos" w:eastAsia="Aptos" w:hAnsi="Aptos"/>
          <w:b w:val="false"/>
          <w:bCs w:val="false"/>
          <w:i w:val="false"/>
          <w:iCs w:val="false"/>
          <w:color w:val="000000"/>
          <w:sz w:val="24"/>
          <w:szCs w:val="24"/>
        </w:rPr>
        <w:t xml:space="preserve">Meera Iyer opened by confirming that all nine Phase 2 deliverables (ISMS-LDR-001 through ISMS-LDR-009) are complete and approved. The Information Security Policy was published to the intranet this morning. She noted that ISMS-LDR-001 now supersedes five prior ad-hoc policies across Engineering, HR, IT Operations, Finance and Sales — all archived, none deleted.</w:t>
      </w:r>
    </w:p>
    <w:p>
      <w:pPr>
        <w:spacing w:after="140" w:before="0"/>
        <w:jc w:val="left"/>
      </w:pPr>
      <w:r>
        <w:rPr>
          <w:rFonts w:ascii="Aptos" w:cs="Aptos" w:eastAsia="Aptos" w:hAnsi="Aptos"/>
          <w:b w:val="false"/>
          <w:bCs w:val="false"/>
          <w:i w:val="false"/>
          <w:iCs w:val="false"/>
          <w:color w:val="000000"/>
          <w:sz w:val="24"/>
          <w:szCs w:val="24"/>
        </w:rPr>
        <w:t xml:space="preserve">Ananya Rao asked how staff would know the old documents are no longer valid. Meera Iyer confirmed that each archived document has been updated in its original location with a notice pointing to ISMS-LDR-001, and that the all-staff policy notification email going out today makes this explicit. She added that the 30-day acknowledgement window starts from today, and department completion rates will be at the next Steering Committee meeting.</w:t>
      </w:r>
    </w:p>
    <w:p>
      <w:pPr>
        <w:spacing w:after="140" w:before="0"/>
        <w:jc w:val="left"/>
      </w:pPr>
      <w:r>
        <w:rPr>
          <w:rFonts w:ascii="Aptos" w:cs="Aptos" w:eastAsia="Aptos" w:hAnsi="Aptos"/>
          <w:b w:val="false"/>
          <w:bCs w:val="false"/>
          <w:i w:val="false"/>
          <w:iCs w:val="false"/>
          <w:color w:val="000000"/>
          <w:sz w:val="24"/>
          <w:szCs w:val="24"/>
        </w:rPr>
        <w:t xml:space="preserve">Vikram Sundaram pointed out that the policy is the foundation — everything from Phase 3 onward references it. He asked that department heads treat the 30-day acknowledgement deadline as firm, not aspirational. Farhan Ahmed confirmed he would follow up with any department running below 80% at the two-week mark.</w:t>
      </w:r>
    </w:p>
    <w:p>
      <w:pPr>
        <w:pStyle w:val="Heading2"/>
        <w:spacing w:after="100" w:before="200"/>
      </w:pPr>
      <w:r>
        <w:rPr>
          <w:rFonts w:ascii="Aptos" w:cs="Aptos" w:eastAsia="Aptos" w:hAnsi="Aptos"/>
          <w:b/>
          <w:bCs/>
          <w:i w:val="false"/>
          <w:iCs w:val="false"/>
          <w:color w:val="000000"/>
          <w:sz w:val="32"/>
          <w:szCs w:val="32"/>
        </w:rPr>
        <w:t xml:space="preserve">Item 2 — ISMS objectives</w:t>
      </w:r>
    </w:p>
    <w:p>
      <w:pPr>
        <w:spacing w:after="140" w:before="0"/>
        <w:jc w:val="left"/>
      </w:pPr>
      <w:r>
        <w:rPr>
          <w:rFonts w:ascii="Aptos" w:cs="Aptos" w:eastAsia="Aptos" w:hAnsi="Aptos"/>
          <w:b w:val="false"/>
          <w:bCs w:val="false"/>
          <w:i w:val="false"/>
          <w:iCs w:val="false"/>
          <w:color w:val="000000"/>
          <w:sz w:val="24"/>
          <w:szCs w:val="24"/>
        </w:rPr>
        <w:t xml:space="preserve">Vikram Sundaram walked through the eleven implementation-period objectives (O-01 to O-11) and ten ongoing objectives (OO-01 to OO-10) in ISMS-LDR-002. Two points prompted discussion: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OO-08 — the security questionnaire response time target (≤ 5 business days post-certification). Karan Bhatia had flagged before the meeting that the current 2–4 week response time was causing lost deals, not just friction. Ananya Rao agreed this is the objective that most directly connects the ISMS to revenue, and asked Meera Iyer to make it a standing item on the monthly GRC status report from Phase 3.</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OO-02 — 90% of High risks under active treatment within 90 days of identification. Vikram Sundaram noted this target only kicks in from Phase 3 when the risk register exists. He asked the room to acknowledge that the preliminary risks in ISMS-INI-006 (RISK-PRE-01 to RISK-PRE-10) already exist and already need owners — the Phase 3 risk assessment formalises them, it does not create them. Ananya Rao agreed and noted this should be reflected in the Phase 3 kick-off.</w:t>
      </w:r>
    </w:p>
    <w:p>
      <w:pPr>
        <w:spacing w:after="140" w:before="0"/>
        <w:jc w:val="left"/>
      </w:pPr>
      <w:r>
        <w:rPr>
          <w:rFonts w:ascii="Aptos" w:cs="Aptos" w:eastAsia="Aptos" w:hAnsi="Aptos"/>
          <w:b w:val="false"/>
          <w:bCs w:val="false"/>
          <w:i w:val="false"/>
          <w:iCs w:val="false"/>
          <w:color w:val="000000"/>
          <w:sz w:val="24"/>
          <w:szCs w:val="24"/>
        </w:rPr>
        <w:t xml:space="preserve">Rajesh Menon confirmed the cyber insurance renewal is due in Q3 2026, which falls during Phase 5. He asked Vikram Sundaram to flag which Annex A controls are specifically cited in the insurer's questionnaire so they can be prioritised in the SoA. Vikram Sundaram agreed to do this during Phase 3 and document it in ISMS-PLN-006.</w:t>
      </w:r>
    </w:p>
    <w:p>
      <w:pPr>
        <w:pStyle w:val="Heading2"/>
        <w:spacing w:after="100" w:before="200"/>
      </w:pPr>
      <w:r>
        <w:rPr>
          <w:rFonts w:ascii="Aptos" w:cs="Aptos" w:eastAsia="Aptos" w:hAnsi="Aptos"/>
          <w:b/>
          <w:bCs/>
          <w:i w:val="false"/>
          <w:iCs w:val="false"/>
          <w:color w:val="000000"/>
          <w:sz w:val="32"/>
          <w:szCs w:val="32"/>
        </w:rPr>
        <w:t xml:space="preserve">Item 3 — Roles and Security Champions</w:t>
      </w:r>
    </w:p>
    <w:p>
      <w:pPr>
        <w:spacing w:after="140" w:before="0"/>
        <w:jc w:val="left"/>
      </w:pPr>
      <w:r>
        <w:rPr>
          <w:rFonts w:ascii="Aptos" w:cs="Aptos" w:eastAsia="Aptos" w:hAnsi="Aptos"/>
          <w:b w:val="false"/>
          <w:bCs w:val="false"/>
          <w:i w:val="false"/>
          <w:iCs w:val="false"/>
          <w:color w:val="000000"/>
          <w:sz w:val="24"/>
          <w:szCs w:val="24"/>
        </w:rPr>
        <w:t xml:space="preserve">Farhan Ahmed confirmed that Security Champion nominations are underway across all eight departments. He expects to have names from six departments by 15 April and the remaining two by 22 April — both within the Phase 2 window. The nominees have been selected from staff who are not implementing ISMS controls in their department, to keep future audit independence options open.</w:t>
      </w:r>
    </w:p>
    <w:p>
      <w:pPr>
        <w:spacing w:after="140" w:before="0"/>
        <w:jc w:val="left"/>
      </w:pPr>
      <w:r>
        <w:rPr>
          <w:rFonts w:ascii="Aptos" w:cs="Aptos" w:eastAsia="Aptos" w:hAnsi="Aptos"/>
          <w:b w:val="false"/>
          <w:bCs w:val="false"/>
          <w:i w:val="false"/>
          <w:iCs w:val="false"/>
          <w:color w:val="000000"/>
          <w:sz w:val="24"/>
          <w:szCs w:val="24"/>
        </w:rPr>
        <w:t xml:space="preserve">Advait Deshmukh (Pune, remote) raised a practical concern: Engineering already has an internal security practice lead who does most of what a Security Champion would do. He asked whether this person could be formally named as the Engineering champion or whether a separate nomination was needed. Vikram Sundaram said the role and the existing practice are compatible — the existing person can be named, but they need to formally attend the monthly champions forum and sign off on evidence collection for Engineering controls. Advait Deshmukh confirmed that is workable.</w:t>
      </w:r>
    </w:p>
    <w:p>
      <w:pPr>
        <w:spacing w:after="140" w:before="0"/>
        <w:jc w:val="left"/>
      </w:pPr>
      <w:r>
        <w:rPr>
          <w:rFonts w:ascii="Aptos" w:cs="Aptos" w:eastAsia="Aptos" w:hAnsi="Aptos"/>
          <w:b w:val="false"/>
          <w:bCs w:val="false"/>
          <w:i w:val="false"/>
          <w:iCs w:val="false"/>
          <w:color w:val="000000"/>
          <w:sz w:val="24"/>
          <w:szCs w:val="24"/>
        </w:rPr>
        <w:t xml:space="preserve">Meera Iyer flagged that the Deputy ISMS Manager (R-10, ISMS-LDR-005) has not yet been named. This was flagged in the Phase 1 Approval Record as a pre-M-02 action and is now overdue. She proposed Rohan Sharma (Senior GRC Analyst) as the deputy, pending CISO confirmation. Vikram Sundaram confirmed he is happy with this and asked Meera Iyer to formalise the appointment in ISMS-LDR-005 by 5 April. Ananya Rao noted she wants the deputy named before Phase 3 starts.</w:t>
      </w:r>
    </w:p>
    <w:p>
      <w:pPr>
        <w:pStyle w:val="Heading2"/>
        <w:spacing w:after="100" w:before="200"/>
      </w:pPr>
      <w:r>
        <w:rPr>
          <w:rFonts w:ascii="Aptos" w:cs="Aptos" w:eastAsia="Aptos" w:hAnsi="Aptos"/>
          <w:b/>
          <w:bCs/>
          <w:i w:val="false"/>
          <w:iCs w:val="false"/>
          <w:color w:val="000000"/>
          <w:sz w:val="32"/>
          <w:szCs w:val="32"/>
        </w:rPr>
        <w:t xml:space="preserve">Item 4 — Awareness programme</w:t>
      </w:r>
    </w:p>
    <w:p>
      <w:pPr>
        <w:spacing w:after="140" w:before="0"/>
        <w:jc w:val="left"/>
      </w:pPr>
      <w:r>
        <w:rPr>
          <w:rFonts w:ascii="Aptos" w:cs="Aptos" w:eastAsia="Aptos" w:hAnsi="Aptos"/>
          <w:b w:val="false"/>
          <w:bCs w:val="false"/>
          <w:i w:val="false"/>
          <w:iCs w:val="false"/>
          <w:color w:val="000000"/>
          <w:sz w:val="24"/>
          <w:szCs w:val="24"/>
        </w:rPr>
        <w:t xml:space="preserve">Priya Subramaniam presented the roll-out plan for ISMS-SUP-005. The programme will go live in June 2026 (Month 5), with a mandatory core module for all staff and a Finance-specific anti-phishing module mandatory for Finance and anyone in a payment-handling role. She confirmed 95% completion per department by July 2026 (M-04) is achievable if department heads enforce the deadline.</w:t>
      </w:r>
    </w:p>
    <w:p>
      <w:pPr>
        <w:spacing w:after="140" w:before="0"/>
        <w:jc w:val="left"/>
      </w:pPr>
      <w:r>
        <w:rPr>
          <w:rFonts w:ascii="Aptos" w:cs="Aptos" w:eastAsia="Aptos" w:hAnsi="Aptos"/>
          <w:b w:val="false"/>
          <w:bCs w:val="false"/>
          <w:i w:val="false"/>
          <w:iCs w:val="false"/>
          <w:color w:val="000000"/>
          <w:sz w:val="24"/>
          <w:szCs w:val="24"/>
        </w:rPr>
        <w:t xml:space="preserve">Three points came up in discussion: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The Dubai office will receive the content via Omar Al Mansoori's monthly UAE-hours session, not via a forwarded email. Omar Al Mansoori confirmed he will run a dedicated awareness session in the first week of June.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Priya Subramaniam asked whether contractors and third-party staff on site should be included. Vikram Sundaram said yes — anyone with access to MediSync systems is covered by ISMS-LDR-001 Section 2.2, and the awareness programme should match the policy scope. She confirmed she will include them in the tracking.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Farhan Ahmed asked what happens if a department is below 95% at the M-04 gate. Meera Iyer said the gate does not close until the target is met. The Steering Committee can grant a short extension if there is a documented reason (e.g. a department going through a hiring surge), but the extension cannot push past Stage 1 preparation.</w:t>
      </w:r>
    </w:p>
    <w:p>
      <w:pPr>
        <w:pStyle w:val="Heading2"/>
        <w:spacing w:after="100" w:before="200"/>
      </w:pPr>
      <w:r>
        <w:rPr>
          <w:rFonts w:ascii="Aptos" w:cs="Aptos" w:eastAsia="Aptos" w:hAnsi="Aptos"/>
          <w:b/>
          <w:bCs/>
          <w:i w:val="false"/>
          <w:iCs w:val="false"/>
          <w:color w:val="000000"/>
          <w:sz w:val="32"/>
          <w:szCs w:val="32"/>
        </w:rPr>
        <w:t xml:space="preserve">Item 5 — Phase 3 launch</w:t>
      </w:r>
    </w:p>
    <w:p>
      <w:pPr>
        <w:spacing w:after="140" w:before="0"/>
        <w:jc w:val="left"/>
      </w:pPr>
      <w:r>
        <w:rPr>
          <w:rFonts w:ascii="Aptos" w:cs="Aptos" w:eastAsia="Aptos" w:hAnsi="Aptos"/>
          <w:b w:val="false"/>
          <w:bCs w:val="false"/>
          <w:i w:val="false"/>
          <w:iCs w:val="false"/>
          <w:color w:val="000000"/>
          <w:sz w:val="24"/>
          <w:szCs w:val="24"/>
        </w:rPr>
        <w:t xml:space="preserve">Vikram Sundaram outlined the Phase 3 sequence: risk assessment methodology first (ISMS-PLN-001), then information asset register (ISMS-PLN-003), then the full risk assessment and risk register (ISMS-PLN-004), then risk treatment (ISMS-PLN-005) and finally the Statement of Applicability (ISMS-PLN-006). Everything downstream of Phase 5 depends on the SoA being right, so the sequence is not negotiable.</w:t>
      </w:r>
    </w:p>
    <w:p>
      <w:pPr>
        <w:spacing w:after="140" w:before="0"/>
        <w:jc w:val="left"/>
      </w:pPr>
      <w:r>
        <w:rPr>
          <w:rFonts w:ascii="Aptos" w:cs="Aptos" w:eastAsia="Aptos" w:hAnsi="Aptos"/>
          <w:b w:val="false"/>
          <w:bCs w:val="false"/>
          <w:i w:val="false"/>
          <w:iCs w:val="false"/>
          <w:color w:val="000000"/>
          <w:sz w:val="24"/>
          <w:szCs w:val="24"/>
        </w:rPr>
        <w:t xml:space="preserve">Key discussion points: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Ridhima Kapoor confirmed Engineering and Cloud Infrastructure will be available for the risk workshops in April and May. She flagged the engineering release freeze in late May — Vikram Sundaram confirmed the risk workshops will be scheduled before that window, not through it.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Meera Iyer noted that the asset register must start with the shared platform layer — identity, API gateway, data tier, backup, logging — before moving to product-layer assets. This was flagged in the gap assessment (G-01) and the context analysis. Vikram Sundaram confirmed this is the plan and that he will co-facilitate the shared-layer workshop with Sana Al Farsi.</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Rajesh Menon asked about the Phase 3 budget. Meera Iyer confirmed the Phase 2 consulting tranche of ₹6,60,000 is released as of today, and the Phase 3 tranche of ₹19,80,000 releases at M-03 on gate closure. No pre-approval of the M-03 tranche is needed — it releases automatically when the gate is closed.</w:t>
      </w:r>
    </w:p>
    <w:p>
      <w:pPr>
        <w:pStyle w:val="Heading2"/>
        <w:spacing w:after="100" w:before="200"/>
      </w:pPr>
      <w:r>
        <w:rPr>
          <w:rFonts w:ascii="Aptos" w:cs="Aptos" w:eastAsia="Aptos" w:hAnsi="Aptos"/>
          <w:b/>
          <w:bCs/>
          <w:i w:val="false"/>
          <w:iCs w:val="false"/>
          <w:color w:val="000000"/>
          <w:sz w:val="32"/>
          <w:szCs w:val="32"/>
        </w:rPr>
        <w:t xml:space="preserve">Item 6 — Open issues from Phase 1</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4200"/>
        <w:gridCol w:w="2800"/>
        <w:gridCol w:w="22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w:t>
            </w:r>
          </w:p>
        </w:tc>
        <w:tc>
          <w:tcPr>
            <w:tcW w:type="dxa" w:w="4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Issue</w:t>
            </w:r>
          </w:p>
        </w:tc>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 at this meeting</w:t>
            </w:r>
          </w:p>
        </w:tc>
        <w:tc>
          <w:tcPr>
            <w:tcW w:type="dxa" w:w="2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OA-01</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PDPL DPO threshold assessment — was Phase 1 priority, flagged as overdue in ISMS-INI-016</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confirms assessment complete — DPO threshold not met under current UAE processing volumes. Documented in ISMS-INI-010 v1.1, issued 28 March 2026.</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 CLOSED</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OA-02</w:t>
            </w:r>
          </w:p>
        </w:tc>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 DPA review against DPDP Act and UAE PDPL</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of 22 enterprise customers reviewed. 8 remaining — targeted for completion by 30 April 2026.</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 IN PROGRESS</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OA-03</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Per-contract breach notification SLAs documented in ISMS-INI-010</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enterprise SLAs now mapped in ISMS-INI-010. Three contracts have 24-hour SLAs (stricter than regulatory). Documented.</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 CLOSED</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OA-04</w:t>
            </w:r>
          </w:p>
        </w:tc>
        <w:tc>
          <w:tcPr>
            <w:tcW w:type="dxa" w:w="4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Champions nominated</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Six of eight confirmed — see Item 3. Remaining two by 22 April.</w:t>
            </w:r>
          </w:p>
        </w:tc>
        <w:tc>
          <w:tcPr>
            <w:tcW w:type="dxa" w:w="2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 — IN PROGRESS</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OA-05</w:t>
            </w:r>
          </w:p>
        </w:tc>
        <w:tc>
          <w:tcPr>
            <w:tcW w:type="dxa" w:w="4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Sales team briefed on certification claims</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Completed 9 February 2026 by Karan Bhatia. Updated briefing at M-02 (today) noting policy is now in force.</w:t>
            </w:r>
          </w:p>
        </w:tc>
        <w:tc>
          <w:tcPr>
            <w:tcW w:type="dxa" w:w="2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Karan Bhatia — CLOSED</w:t>
            </w:r>
          </w:p>
        </w:tc>
      </w:tr>
    </w:tbl>
    <w:p>
      <w:pPr>
        <w:pStyle w:val="Heading1"/>
        <w:spacing w:after="120" w:before="300"/>
      </w:pPr>
      <w:r>
        <w:rPr>
          <w:rFonts w:ascii="Aptos" w:cs="Aptos" w:eastAsia="Aptos" w:hAnsi="Aptos"/>
          <w:b/>
          <w:bCs/>
          <w:i w:val="false"/>
          <w:iCs w:val="false"/>
          <w:color w:val="000000"/>
          <w:sz w:val="36"/>
          <w:szCs w:val="36"/>
        </w:rPr>
        <w:t xml:space="preserve">4. Decisions Made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7280"/>
        <w:gridCol w:w="200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Made By</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D-01</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2 deliverables confirmed complete and approved. M-02 gate is closed. Phase 3 is authorised to proceed.</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(gate closure)</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D-02</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2 consulting tranche of ₹6,60,000 released to the external consulting team effective today.</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CFO on ISMS Manager confirmation</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D-03</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Rohan Sharma (Senior GRC Analyst) appointed as Deputy ISMS Manager. ISMS-LDR-005 to be updated by 5 April 2026.</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 on CISO recommendation</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D-04</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OO-08 (questionnaire response time) added as a standing item on the monthly GRC status report from Phase 3.</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D-05</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to flag insurer-required Annex A controls during Phase 3 SoA work and document them in ISMS-PLN-006.</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 noted</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D-06</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programme includes contractors and on-site third-party staff within scope. Tracking includes them in department completion counts.</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and Head of HR</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D-07</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asset register begins with shared platform layer. Risk workshops scheduled before the engineering release freeze window.</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and CTO</w:t>
            </w:r>
          </w:p>
        </w:tc>
      </w:tr>
    </w:tbl>
    <w:p>
      <w:pPr>
        <w:pStyle w:val="Heading1"/>
        <w:spacing w:after="120" w:before="300"/>
      </w:pPr>
      <w:r>
        <w:rPr>
          <w:rFonts w:ascii="Aptos" w:cs="Aptos" w:eastAsia="Aptos" w:hAnsi="Aptos"/>
          <w:b/>
          <w:bCs/>
          <w:i w:val="false"/>
          <w:iCs w:val="false"/>
          <w:color w:val="000000"/>
          <w:sz w:val="36"/>
          <w:szCs w:val="36"/>
        </w:rPr>
        <w:t xml:space="preserve">5. Actions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5200"/>
        <w:gridCol w:w="2200"/>
        <w:gridCol w:w="18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w:t>
            </w:r>
          </w:p>
        </w:tc>
        <w:tc>
          <w:tcPr>
            <w:tcW w:type="dxa" w:w="5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Due</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A-01</w:t>
            </w:r>
          </w:p>
        </w:tc>
        <w:tc>
          <w:tcPr>
            <w:tcW w:type="dxa" w:w="5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Formalise Deputy ISMS Manager appointment — update ISMS-LDR-005 CL-005 and confirm to Rohan Sharma</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Apr 2026</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A-02</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remaining 8 customer DPA reviews (OA-02)</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Apr 2026</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A-03</w:t>
            </w:r>
          </w:p>
        </w:tc>
        <w:tc>
          <w:tcPr>
            <w:tcW w:type="dxa" w:w="5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 remaining 2 Security Champion nominations (Engineering confirmed today — 6 total, 2 pending)</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Apr 2026</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A-04</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 Phase 3 shared-platform-layer risk workshop with CISO and Head of Cloud Infrastructure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Vikram Sundaram</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 2026</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A-05</w:t>
            </w:r>
          </w:p>
        </w:tc>
        <w:tc>
          <w:tcPr>
            <w:tcW w:type="dxa" w:w="5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 remaining Phase 3 risk workshops — all before engineering release freeze in late May</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Consulting Team</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Apr 2026</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A-06</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Update monthly GRC status report template to include OO-08 (questionnaire response time)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Apr 2026</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A-07</w:t>
            </w:r>
          </w:p>
        </w:tc>
        <w:tc>
          <w:tcPr>
            <w:tcW w:type="dxa" w:w="5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Circulate minutes to all attendees for confirmation within 48 hours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Apr 2026</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A-08</w:t>
            </w:r>
          </w:p>
        </w:tc>
        <w:tc>
          <w:tcPr>
            <w:tcW w:type="dxa" w:w="5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 to follow up with departments below 80% policy acknowledgement at the 2-week mark</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Apr 2026</w:t>
            </w:r>
          </w:p>
        </w:tc>
      </w:tr>
    </w:tbl>
    <w:p>
      <w:pPr>
        <w:pStyle w:val="Heading1"/>
        <w:spacing w:after="120" w:before="300"/>
      </w:pPr>
      <w:r>
        <w:rPr>
          <w:rFonts w:ascii="Aptos" w:cs="Aptos" w:eastAsia="Aptos" w:hAnsi="Aptos"/>
          <w:b/>
          <w:bCs/>
          <w:i w:val="false"/>
          <w:iCs w:val="false"/>
          <w:color w:val="000000"/>
          <w:sz w:val="36"/>
          <w:szCs w:val="36"/>
        </w:rPr>
        <w:t xml:space="preserve">6. Next Meeting</w:t>
      </w:r>
    </w:p>
    <w:p>
      <w:pPr>
        <w:spacing w:after="140" w:before="0"/>
        <w:jc w:val="left"/>
      </w:pPr>
      <w:r>
        <w:rPr>
          <w:rFonts w:ascii="Aptos" w:cs="Aptos" w:eastAsia="Aptos" w:hAnsi="Aptos"/>
          <w:b w:val="false"/>
          <w:bCs w:val="false"/>
          <w:i w:val="false"/>
          <w:iCs w:val="false"/>
          <w:color w:val="000000"/>
          <w:sz w:val="24"/>
          <w:szCs w:val="24"/>
        </w:rPr>
        <w:t xml:space="preserve">Next ISMS Steering Committee: 1 July 2026 (quarterly). Phase 3 is expected to be complete or near-complete by that date — the M-03 gate review (risk assessment and SoA approved) is targeted for June 2026.</w:t>
      </w:r>
    </w:p>
    <w:p>
      <w:pPr>
        <w:spacing w:after="140" w:before="0"/>
        <w:jc w:val="left"/>
      </w:pPr>
      <w:r>
        <w:rPr>
          <w:rFonts w:ascii="Aptos" w:cs="Aptos" w:eastAsia="Aptos" w:hAnsi="Aptos"/>
          <w:b w:val="false"/>
          <w:bCs w:val="false"/>
          <w:i w:val="false"/>
          <w:iCs w:val="false"/>
          <w:color w:val="000000"/>
          <w:sz w:val="24"/>
          <w:szCs w:val="24"/>
        </w:rPr>
        <w:t xml:space="preserve">First formal Management Review: October 2026 (M-06 gate condition). ISMS-LDR-006 Management Review Committee Charter is in force from today and governs that meeting.</w:t>
      </w:r>
    </w:p>
    <w:p>
      <w:pPr>
        <w:pStyle w:val="Heading1"/>
        <w:spacing w:after="120" w:before="300"/>
      </w:pPr>
      <w:r>
        <w:rPr>
          <w:rFonts w:ascii="Aptos" w:cs="Aptos" w:eastAsia="Aptos" w:hAnsi="Aptos"/>
          <w:b/>
          <w:bCs/>
          <w:i w:val="false"/>
          <w:iCs w:val="false"/>
          <w:color w:val="000000"/>
          <w:sz w:val="36"/>
          <w:szCs w:val="36"/>
        </w:rPr>
        <w:t xml:space="preserve">7. Confirmation of Minutes</w:t>
      </w:r>
    </w:p>
    <w:p>
      <w:pPr>
        <w:spacing w:after="140" w:before="0"/>
        <w:jc w:val="left"/>
      </w:pPr>
      <w:r>
        <w:rPr>
          <w:rFonts w:ascii="Aptos" w:cs="Aptos" w:eastAsia="Aptos" w:hAnsi="Aptos"/>
          <w:b w:val="false"/>
          <w:bCs w:val="false"/>
          <w:i w:val="false"/>
          <w:iCs w:val="false"/>
          <w:color w:val="000000"/>
          <w:sz w:val="24"/>
          <w:szCs w:val="24"/>
        </w:rPr>
        <w:t xml:space="preserve">Minutes circulated to all attendees 3 April 2026. Confirmation received from all attendees by 5 April 2026.</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2900"/>
        <w:gridCol w:w="2800"/>
        <w:gridCol w:w="1880"/>
      </w:tblGrid>
      <w:tr>
        <w:trPr>
          <w:cantSplit/>
          <w:tblHeader/>
        </w:trPr>
        <w:tc>
          <w:tcPr>
            <w:tcW w:type="dxa" w:w="25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Confirmed</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CEO</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accurate</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Apr 2026</w:t>
            </w:r>
          </w:p>
        </w:tc>
      </w:tr>
      <w:tr>
        <w:trPr>
          <w:cantSplit/>
        </w:trPr>
        <w:tc>
          <w:tcPr>
            <w:tcW w:type="dxa" w:w="2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accurate</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Apr 2026</w:t>
            </w:r>
          </w:p>
        </w:tc>
      </w:tr>
      <w:tr>
        <w:trPr>
          <w:cantSplit/>
        </w:trPr>
        <w:tc>
          <w:tcPr>
            <w:tcW w:type="dxa" w:w="2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(Minutes Author)</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accurate</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Apr 2026</w:t>
            </w:r>
          </w:p>
        </w:tc>
      </w:tr>
    </w:tbl>
    <w:p>
      <w:pPr>
        <w:keepNext/>
        <w:spacing w:after="80" w:before="260"/>
      </w:pPr>
      <w:r>
        <w:rPr>
          <w:rFonts w:ascii="Aptos" w:cs="Aptos" w:eastAsia="Aptos" w:hAnsi="Aptos"/>
          <w:b w:val="false"/>
          <w:bCs w:val="false"/>
          <w:i w:val="false"/>
          <w:iCs w:val="false"/>
          <w:color w:val="000000"/>
          <w:sz w:val="24"/>
          <w:szCs w:val="24"/>
        </w:rPr>
        <w:t xml:space="preserve">Chair signature: ______________________________________     Date: _________________________</w:t>
      </w:r>
    </w:p>
    <w:p>
      <w:pPr>
        <w:spacing w:after="200"/>
      </w:pPr>
      <w:r>
        <w:rPr>
          <w:rFonts w:ascii="Aptos" w:cs="Aptos" w:eastAsia="Aptos" w:hAnsi="Aptos"/>
          <w:b w:val="false"/>
          <w:bCs w:val="false"/>
          <w:i/>
          <w:iCs/>
          <w:color w:val="000000"/>
          <w:sz w:val="24"/>
          <w:szCs w:val="24"/>
        </w:rPr>
        <w:t xml:space="preserve">Ananya Rao, Chief Executive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ISMS-LDR-009  |  Leadership Commitment Meeting Minutes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2026-08-24T11:01:06.400Z</dcterms:created>
  <dcterms:modified xsi:type="dcterms:W3CDTF">2026-08-24T11:01:06.411Z</dcterms:modified>
</cp:coreProperties>
</file>

<file path=docProps/custom.xml><?xml version="1.0" encoding="utf-8"?>
<Properties xmlns="http://schemas.openxmlformats.org/officeDocument/2006/custom-properties" xmlns:vt="http://schemas.openxmlformats.org/officeDocument/2006/docPropsVTypes"/>
</file>