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RISK ASSESSMENT METHODOLOGY DOCUMENT</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Methodology Document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6.1.2 — Information Security Risk Assessment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 (Clause 6), Item 1 of 12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Baseline Methodology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Chief Information Security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April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April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Review</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Annually at management review; also reviewed if a major incident reveals a methodology gap</w:t>
            </w:r>
          </w:p>
        </w:tc>
      </w:tr>
    </w:tbl>
    <w:p>
      <w:pPr>
        <w:spacing w:after="200" w:before="140"/>
      </w:pPr>
      <w:r>
        <w:rPr>
          <w:rFonts w:ascii="Aptos" w:cs="Aptos" w:eastAsia="Aptos" w:hAnsi="Aptos"/>
          <w:b w:val="false"/>
          <w:bCs w:val="false"/>
          <w:i/>
          <w:iCs/>
          <w:color w:val="000000"/>
          <w:sz w:val="24"/>
          <w:szCs w:val="24"/>
        </w:rPr>
        <w:t xml:space="preserve">This document defines how MediSync identifies, analyses and evaluates information security risks. Every risk in ISMS-PLN-004 must be assessed using this methodology. The methodology is fixed before the risk assessment starts — changing it mid-assessment invalidates comparability across risks.</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scoring scales, heat map and assessment approach defined.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0.2</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Apr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Impact scale aligned with MediSync data classification tiers. Shared-platform correlated-failure scenario added.</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0.3</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Apr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effectiveness adjustment and residual risk calculation confirmed.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Steering Committee. Methodology locked — risk assessment begins.</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Appetite &amp; Criteria Document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Defines the thresholds this methodology produces scores against.</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ISMS-PLN-003</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Asset Register</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of assets for the asset-based assessment stream.</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register populated using this methodology.</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ISMS-PLN-005</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Plan</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decisions made against risks scored using this methodology.</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ISMS-PLN-006</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Statement of Applicability</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selection informed by the risk assessment outputs.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ISMS-INI-006</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Context Analysis Report</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Section 8 preliminary risks — the inputs this methodology will formally score.</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Assessment Report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G-02 — absence of a risk methodology — is closed by this document.</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ISMS-OPS-011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Risk Reassessment Report</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Periodic reassessments use this same methodology throughout the ISMS lifecycle.</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This document defines the methodology MediSync uses to assess information security risks under ISO/IEC 27001:2022 Clause 6.1.2. It covers how risks are identified, how likelihood and impact are scored, how inherent and residual risk ratings are calculated, and how risks are prioritised for treatment.</w:t>
      </w:r>
    </w:p>
    <w:p>
      <w:pPr>
        <w:spacing w:after="140" w:before="0"/>
        <w:jc w:val="left"/>
      </w:pPr>
      <w:r>
        <w:rPr>
          <w:rFonts w:ascii="Aptos" w:cs="Aptos" w:eastAsia="Aptos" w:hAnsi="Aptos"/>
          <w:b w:val="false"/>
          <w:bCs w:val="false"/>
          <w:i w:val="false"/>
          <w:iCs w:val="false"/>
          <w:color w:val="000000"/>
          <w:sz w:val="24"/>
          <w:szCs w:val="24"/>
        </w:rPr>
        <w:t xml:space="preserve">This methodology must be approved and fixed before any risk is scored. Risks scored under different scales or criteria are not comparable — and incomparable risks produce meaningless registers. The risk register (ISMS-PLN-004) and risk treatment plan (ISMS-PLN-005) are only valid if they were produced using this methodology.</w:t>
      </w:r>
    </w:p>
    <w:p>
      <w:pPr>
        <w:spacing w:after="140" w:before="0"/>
        <w:jc w:val="left"/>
      </w:pPr>
      <w:r>
        <w:rPr>
          <w:rFonts w:ascii="Aptos" w:cs="Aptos" w:eastAsia="Aptos" w:hAnsi="Aptos"/>
          <w:b w:val="false"/>
          <w:bCs w:val="false"/>
          <w:i w:val="false"/>
          <w:iCs w:val="false"/>
          <w:color w:val="000000"/>
          <w:sz w:val="24"/>
          <w:szCs w:val="24"/>
        </w:rPr>
        <w:t xml:space="preserve">The methodology applies to the initial assessment (Phase 3), all periodic reassessments (ISMS-OPS-011) and any out-of-cycle assessments triggered by a significant incident, regulatory change or material change to the organisation.</w:t>
      </w:r>
    </w:p>
    <w:p>
      <w:pPr>
        <w:pStyle w:val="Heading1"/>
        <w:spacing w:after="120" w:before="300"/>
      </w:pPr>
      <w:r>
        <w:rPr>
          <w:rFonts w:ascii="Aptos" w:cs="Aptos" w:eastAsia="Aptos" w:hAnsi="Aptos"/>
          <w:b/>
          <w:bCs/>
          <w:i w:val="false"/>
          <w:iCs w:val="false"/>
          <w:color w:val="000000"/>
          <w:sz w:val="36"/>
          <w:szCs w:val="36"/>
        </w:rPr>
        <w:t xml:space="preserve">2. Assessment Approach</w:t>
      </w:r>
    </w:p>
    <w:p>
      <w:pPr>
        <w:spacing w:after="140" w:before="0"/>
        <w:jc w:val="left"/>
      </w:pPr>
      <w:r>
        <w:rPr>
          <w:rFonts w:ascii="Aptos" w:cs="Aptos" w:eastAsia="Aptos" w:hAnsi="Aptos"/>
          <w:b w:val="false"/>
          <w:bCs w:val="false"/>
          <w:i w:val="false"/>
          <w:iCs w:val="false"/>
          <w:color w:val="000000"/>
          <w:sz w:val="24"/>
          <w:szCs w:val="24"/>
        </w:rPr>
        <w:t xml:space="preserve">MediSync uses a hybrid approach: asset-based assessment and scenario-based assessment run in parallel. This is not optional — MediSync's shared platform architecture makes scenario-based assessment essential, because the most significant risks are not tied to a single asset but to the correlated failure of the shared layer.</w:t>
      </w:r>
    </w:p>
    <w:p>
      <w:pPr>
        <w:pStyle w:val="Heading2"/>
        <w:spacing w:after="100" w:before="200"/>
      </w:pPr>
      <w:r>
        <w:rPr>
          <w:rFonts w:ascii="Aptos" w:cs="Aptos" w:eastAsia="Aptos" w:hAnsi="Aptos"/>
          <w:b/>
          <w:bCs/>
          <w:i w:val="false"/>
          <w:iCs w:val="false"/>
          <w:color w:val="000000"/>
          <w:sz w:val="32"/>
          <w:szCs w:val="32"/>
        </w:rPr>
        <w:t xml:space="preserve">2.1 Asset-based stream</w:t>
      </w:r>
    </w:p>
    <w:p>
      <w:pPr>
        <w:spacing w:after="140" w:before="0"/>
        <w:jc w:val="left"/>
      </w:pPr>
      <w:r>
        <w:rPr>
          <w:rFonts w:ascii="Aptos" w:cs="Aptos" w:eastAsia="Aptos" w:hAnsi="Aptos"/>
          <w:b w:val="false"/>
          <w:bCs w:val="false"/>
          <w:i w:val="false"/>
          <w:iCs w:val="false"/>
          <w:color w:val="000000"/>
          <w:sz w:val="24"/>
          <w:szCs w:val="24"/>
        </w:rPr>
        <w:t xml:space="preserve">Starting from the Information Asset Register (ISMS-PLN-003), each asset is assessed for threats to its confidentiality, integrity and availability. Assets are grouped at the platform-layer level first — identity, API gateway, data tier, backup, logging — before individual product-layer assets. This grouping is mandatory: it reflects the architectural reality that a failure in the shared layer affects all assets simultaneously.</w:t>
      </w:r>
    </w:p>
    <w:p>
      <w:pPr>
        <w:pStyle w:val="Heading2"/>
        <w:spacing w:after="100" w:before="200"/>
      </w:pPr>
      <w:r>
        <w:rPr>
          <w:rFonts w:ascii="Aptos" w:cs="Aptos" w:eastAsia="Aptos" w:hAnsi="Aptos"/>
          <w:b/>
          <w:bCs/>
          <w:i w:val="false"/>
          <w:iCs w:val="false"/>
          <w:color w:val="000000"/>
          <w:sz w:val="32"/>
          <w:szCs w:val="32"/>
        </w:rPr>
        <w:t xml:space="preserve">2.2 Scenario-based stream</w:t>
      </w:r>
    </w:p>
    <w:p>
      <w:pPr>
        <w:spacing w:after="140" w:before="0"/>
        <w:jc w:val="left"/>
      </w:pPr>
      <w:r>
        <w:rPr>
          <w:rFonts w:ascii="Aptos" w:cs="Aptos" w:eastAsia="Aptos" w:hAnsi="Aptos"/>
          <w:b w:val="false"/>
          <w:bCs w:val="false"/>
          <w:i w:val="false"/>
          <w:iCs w:val="false"/>
          <w:color w:val="000000"/>
          <w:sz w:val="24"/>
          <w:szCs w:val="24"/>
        </w:rPr>
        <w:t xml:space="preserve">Specific threat scenarios — drawn from the preliminary risks in ISMS-INI-006, known incident history (phishing near-miss, misconfiguration near-miss), and the threat intelligence picture in ISMS-INI-008 — are assessed independently. This catches systemic risks that span multiple assets and would be underweighted in a pure asset-based assessment.</w:t>
      </w:r>
    </w:p>
    <w:p>
      <w:pPr>
        <w:spacing w:after="140" w:before="0"/>
        <w:jc w:val="left"/>
      </w:pPr>
      <w:r>
        <w:rPr>
          <w:rFonts w:ascii="Aptos" w:cs="Aptos" w:eastAsia="Aptos" w:hAnsi="Aptos"/>
          <w:b w:val="false"/>
          <w:bCs w:val="false"/>
          <w:i w:val="false"/>
          <w:iCs w:val="false"/>
          <w:color w:val="000000"/>
          <w:sz w:val="24"/>
          <w:szCs w:val="24"/>
        </w:rPr>
        <w:t xml:space="preserve">The two streams feed into the same risk register. Where a scenario maps to an asset-based risk already identified, they are merged into one entry. Where they produce different risks, both are registered separately.</w:t>
      </w:r>
    </w:p>
    <w:p>
      <w:pPr>
        <w:pStyle w:val="Heading2"/>
        <w:spacing w:after="100" w:before="200"/>
      </w:pPr>
      <w:r>
        <w:rPr>
          <w:rFonts w:ascii="Aptos" w:cs="Aptos" w:eastAsia="Aptos" w:hAnsi="Aptos"/>
          <w:b/>
          <w:bCs/>
          <w:i w:val="false"/>
          <w:iCs w:val="false"/>
          <w:color w:val="000000"/>
          <w:sz w:val="32"/>
          <w:szCs w:val="32"/>
        </w:rPr>
        <w:t xml:space="preserve">2.3 Scope boundary</w:t>
      </w:r>
    </w:p>
    <w:p>
      <w:pPr>
        <w:spacing w:after="140" w:before="0"/>
        <w:jc w:val="left"/>
      </w:pPr>
      <w:r>
        <w:rPr>
          <w:rFonts w:ascii="Aptos" w:cs="Aptos" w:eastAsia="Aptos" w:hAnsi="Aptos"/>
          <w:b w:val="false"/>
          <w:bCs w:val="false"/>
          <w:i w:val="false"/>
          <w:iCs w:val="false"/>
          <w:color w:val="000000"/>
          <w:sz w:val="24"/>
          <w:szCs w:val="24"/>
        </w:rPr>
        <w:t xml:space="preserve">The assessment covers all assets and processes within the ISMS scope defined in ISMS-INI-011. Assets explicitly excluded from scope (customer-owned systems, cloud provider physical infrastructure, personal devices not enrolled in MDM) are not assessed. Interface risks at the scope boundary — where in-scope systems connect to out-of-scope systems — are assessed from the in-scope side only.</w:t>
      </w:r>
    </w:p>
    <w:p>
      <w:pPr>
        <w:pStyle w:val="Heading1"/>
        <w:spacing w:after="120" w:before="300"/>
      </w:pPr>
      <w:r>
        <w:rPr>
          <w:rFonts w:ascii="Aptos" w:cs="Aptos" w:eastAsia="Aptos" w:hAnsi="Aptos"/>
          <w:b/>
          <w:bCs/>
          <w:i w:val="false"/>
          <w:iCs w:val="false"/>
          <w:color w:val="000000"/>
          <w:sz w:val="36"/>
          <w:szCs w:val="36"/>
        </w:rPr>
        <w:t xml:space="preserve">3. Risk Identification</w:t>
      </w:r>
    </w:p>
    <w:p>
      <w:pPr>
        <w:spacing w:after="140" w:before="0"/>
        <w:jc w:val="left"/>
      </w:pPr>
      <w:r>
        <w:rPr>
          <w:rFonts w:ascii="Aptos" w:cs="Aptos" w:eastAsia="Aptos" w:hAnsi="Aptos"/>
          <w:b w:val="false"/>
          <w:bCs w:val="false"/>
          <w:i w:val="false"/>
          <w:iCs w:val="false"/>
          <w:color w:val="000000"/>
          <w:sz w:val="24"/>
          <w:szCs w:val="24"/>
        </w:rPr>
        <w:t xml:space="preserve">A risk entry in ISMS-PLN-004 is a combination of an information asset (or group of assets), a threat that could affect it, a vulnerability that the threat could exploit, and a consequence if the threat is realised. All four components must be documented for every risk.</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880"/>
      </w:tblGrid>
      <w:tr>
        <w:trPr>
          <w:cantSplit/>
          <w:tblHeader/>
        </w:trPr>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Component</w:t>
            </w:r>
          </w:p>
        </w:tc>
        <w:tc>
          <w:tcPr>
            <w:tcW w:type="dxa" w:w="7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Definition for MediSync</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Asset</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 item of value to MediSync that needs protection — data, systems, processes, or people. From ISMS-PLN-003. Shared platform components (identity layer, API-GW, data tier) are treated as asset groups.</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Anything that could exploit a vulnerability and cause harm — malicious (phishing, ransomware, API abuse), accidental (misconfiguration, human error), or natural (cloud region outage). Threats come from the threat landscape in ISMS-INI-008.</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weakness that makes the asset susceptible to the threat. From the gap assessment (ISMS-INI-012) and technical observation. A gap without a corresponding threat is not a risk — it is a control deficiency.</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happens if the threat is realised — expressed in terms of impact on confidentiality (C), integrity (I) and availability (A) of the asset. Each CIA dimension is scored separately, then the highest score is used as the impact rating for the risk.</w:t>
            </w:r>
          </w:p>
        </w:tc>
      </w:tr>
    </w:tbl>
    <w:p>
      <w:pPr>
        <w:spacing w:after="140" w:before="60"/>
        <w:jc w:val="left"/>
      </w:pPr>
      <w:r>
        <w:rPr>
          <w:rFonts w:ascii="Aptos" w:cs="Aptos" w:eastAsia="Aptos" w:hAnsi="Aptos"/>
          <w:b w:val="false"/>
          <w:bCs w:val="false"/>
          <w:i w:val="false"/>
          <w:iCs w:val="false"/>
          <w:color w:val="000000"/>
          <w:sz w:val="24"/>
          <w:szCs w:val="24"/>
        </w:rPr>
        <w:t xml:space="preserve">Risks are identified through: structured workshops with asset owners and department heads; review of the preliminary risk register in ISMS-INI-006 Section 8; and review of incident history in ISMS-INI-012 Section 5.</w:t>
      </w:r>
    </w:p>
    <w:p>
      <w:pPr>
        <w:pStyle w:val="Heading1"/>
        <w:spacing w:after="120" w:before="300"/>
      </w:pPr>
      <w:r>
        <w:rPr>
          <w:rFonts w:ascii="Aptos" w:cs="Aptos" w:eastAsia="Aptos" w:hAnsi="Aptos"/>
          <w:b/>
          <w:bCs/>
          <w:i w:val="false"/>
          <w:iCs w:val="false"/>
          <w:color w:val="000000"/>
          <w:sz w:val="36"/>
          <w:szCs w:val="36"/>
        </w:rPr>
        <w:t xml:space="preserve">4. Likelihood Scale</w:t>
      </w:r>
    </w:p>
    <w:p>
      <w:pPr>
        <w:spacing w:after="140" w:before="0"/>
        <w:jc w:val="left"/>
      </w:pPr>
      <w:r>
        <w:rPr>
          <w:rFonts w:ascii="Aptos" w:cs="Aptos" w:eastAsia="Aptos" w:hAnsi="Aptos"/>
          <w:b w:val="false"/>
          <w:bCs w:val="false"/>
          <w:i w:val="false"/>
          <w:iCs w:val="false"/>
          <w:color w:val="000000"/>
          <w:sz w:val="24"/>
          <w:szCs w:val="24"/>
        </w:rPr>
        <w:t xml:space="preserve">Likelihood is scored on a 1–5 scale. The rating reflects the probability of the threat being realised in the context of MediSync's current environment — not a general industry probability. A common threat with strong existing mitigations scores lower than a less common threat with no mitigations.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2200"/>
        <w:gridCol w:w="2600"/>
        <w:gridCol w:w="40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Score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Rating</w:t>
            </w:r>
          </w:p>
        </w:tc>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Definition</w:t>
            </w:r>
          </w:p>
        </w:tc>
        <w:tc>
          <w:tcPr>
            <w:tcW w:type="dxa" w:w="4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Example in MediSync context</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Almost Certain</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Expected to occur at least once in 12 months under current conditions.</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attempt reaching a MediSync inbox — this is occurring already.</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Likely</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More likely to occur than not within 12 months.</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 attacker targeting the API gateway given its public exposure and the healthcare sector targeting trend.</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Possible</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Could occur within 12 months. Roughly even chance.</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Tier 1 vendor experiencing a breach that affects MediSync data.</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Unlikely</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Could occur but not expected. More likely within 3 years than 12 months.</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 intentional insider threat from a current staff member.</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Rare</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Would require a rare or extraordinary set of circumstances.</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Physical attack on a MediSync office resulting in data compromise.</w:t>
            </w:r>
          </w:p>
        </w:tc>
      </w:tr>
    </w:tbl>
    <w:p>
      <w:pPr>
        <w:spacing w:after="140" w:before="60"/>
        <w:jc w:val="left"/>
      </w:pPr>
      <w:r>
        <w:rPr>
          <w:rFonts w:ascii="Aptos" w:cs="Aptos" w:eastAsia="Aptos" w:hAnsi="Aptos"/>
          <w:b w:val="false"/>
          <w:bCs w:val="false"/>
          <w:i w:val="false"/>
          <w:iCs w:val="false"/>
          <w:color w:val="000000"/>
          <w:sz w:val="24"/>
          <w:szCs w:val="24"/>
        </w:rPr>
        <w:t xml:space="preserve">Existing controls affect the likelihood score only where they are demonstrated to be operating effectively. A control that exists on paper but is not evidenced does not reduce the likelihood score.</w:t>
      </w:r>
    </w:p>
    <w:p>
      <w:pPr>
        <w:pStyle w:val="Heading1"/>
        <w:spacing w:after="120" w:before="300"/>
      </w:pPr>
      <w:r>
        <w:rPr>
          <w:rFonts w:ascii="Aptos" w:cs="Aptos" w:eastAsia="Aptos" w:hAnsi="Aptos"/>
          <w:b/>
          <w:bCs/>
          <w:i w:val="false"/>
          <w:iCs w:val="false"/>
          <w:color w:val="000000"/>
          <w:sz w:val="36"/>
          <w:szCs w:val="36"/>
        </w:rPr>
        <w:t xml:space="preserve">5. Impact Scale</w:t>
      </w:r>
    </w:p>
    <w:p>
      <w:pPr>
        <w:spacing w:after="140" w:before="0"/>
        <w:jc w:val="left"/>
      </w:pPr>
      <w:r>
        <w:rPr>
          <w:rFonts w:ascii="Aptos" w:cs="Aptos" w:eastAsia="Aptos" w:hAnsi="Aptos"/>
          <w:b w:val="false"/>
          <w:bCs w:val="false"/>
          <w:i w:val="false"/>
          <w:iCs w:val="false"/>
          <w:color w:val="000000"/>
          <w:sz w:val="24"/>
          <w:szCs w:val="24"/>
        </w:rPr>
        <w:t xml:space="preserve">Impact is scored on a 1–5 scale per CIA dimension. The score reflects actual business, regulatory and reputational consequence for MediSync and its customers — not abstract severity. Where an incident affects patient data, the impact scoring must consider consequences for the patients, not just for MediSync as an organisation.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2200"/>
        <w:gridCol w:w="66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Score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Rating</w:t>
            </w:r>
          </w:p>
        </w:tc>
        <w:tc>
          <w:tcPr>
            <w:tcW w:type="dxa" w:w="6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Definition — what this means for MediSync</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Catastrophic</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Breach of Restricted-classified data at scale (patient health records across multiple customers); full platform outage; regulatory enforcement action; material customer churn; likely legal action. Cannot be absorbed — existential risk to the business.</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Severe</w:t>
            </w:r>
          </w:p>
        </w:tc>
        <w:tc>
          <w:tcPr>
            <w:tcW w:type="dxa" w:w="6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Breach of Restricted data for one or a small number of customers; extended outage affecting enterprise SLAs; CERT-In / UAE PDPL notification triggered; significant reputational damage; probable contract termination from at least one enterprise customer.</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Breach of Confidential data (source code, contracts); disruption affecting standard SLAs but not enterprise customers; regulatory inquiry (not enforcement); customer escalation; remediation cost in the mid-six-figure range.</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6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Limited data exposure (Internal-classified data); short-duration availability disruption; no external notification required; customer complaint but no contract impact; remediation cost manageable within operational budget.</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Minimal or no data exposure (Public data); brief disruption with no customer-visible impact; no external notification; no regulatory implication; minimal remediation effort.</w:t>
            </w:r>
          </w:p>
        </w:tc>
      </w:tr>
    </w:tbl>
    <w:p>
      <w:pPr>
        <w:spacing w:after="140" w:before="60"/>
        <w:jc w:val="left"/>
      </w:pPr>
      <w:r>
        <w:rPr>
          <w:rFonts w:ascii="Aptos" w:cs="Aptos" w:eastAsia="Aptos" w:hAnsi="Aptos"/>
          <w:b w:val="false"/>
          <w:bCs w:val="false"/>
          <w:i w:val="false"/>
          <w:iCs w:val="false"/>
          <w:color w:val="000000"/>
          <w:sz w:val="24"/>
          <w:szCs w:val="24"/>
        </w:rPr>
        <w:t xml:space="preserve">The impact score is the highest of the C, I and A dimension scores for the risk. Where a risk affects multiple assets simultaneously (shared platform failure scenario), the combined impact across all affected assets is used — not the impact on any single asset.</w:t>
      </w:r>
    </w:p>
    <w:p>
      <w:pPr>
        <w:pStyle w:val="Heading1"/>
        <w:spacing w:after="120" w:before="300"/>
      </w:pPr>
      <w:r>
        <w:rPr>
          <w:rFonts w:ascii="Aptos" w:cs="Aptos" w:eastAsia="Aptos" w:hAnsi="Aptos"/>
          <w:b/>
          <w:bCs/>
          <w:i w:val="false"/>
          <w:iCs w:val="false"/>
          <w:color w:val="000000"/>
          <w:sz w:val="36"/>
          <w:szCs w:val="36"/>
        </w:rPr>
        <w:t xml:space="preserve">6. Inherent Risk Rating</w:t>
      </w:r>
    </w:p>
    <w:p>
      <w:pPr>
        <w:spacing w:after="140" w:before="0"/>
        <w:jc w:val="left"/>
      </w:pPr>
      <w:r>
        <w:rPr>
          <w:rFonts w:ascii="Aptos" w:cs="Aptos" w:eastAsia="Aptos" w:hAnsi="Aptos"/>
          <w:b w:val="false"/>
          <w:bCs w:val="false"/>
          <w:i w:val="false"/>
          <w:iCs w:val="false"/>
          <w:color w:val="000000"/>
          <w:sz w:val="24"/>
          <w:szCs w:val="24"/>
        </w:rPr>
        <w:t xml:space="preserve">Inherent risk is the risk level before any controls are applied. It is calculated as:</w:t>
      </w:r>
    </w:p>
    <w:p>
      <w:pPr>
        <w:spacing w:after="60" w:before="60"/>
        <w:jc w:val="center"/>
      </w:pPr>
      <w:r>
        <w:rPr>
          <w:rFonts w:ascii="Aptos" w:cs="Aptos" w:eastAsia="Aptos" w:hAnsi="Aptos"/>
          <w:b/>
          <w:bCs/>
          <w:i w:val="false"/>
          <w:iCs w:val="false"/>
          <w:color w:val="000000"/>
          <w:sz w:val="26"/>
          <w:szCs w:val="26"/>
        </w:rPr>
        <w:t xml:space="preserve">Inherent Risk = Likelihood Score × Impact Score</w:t>
      </w:r>
    </w:p>
    <w:p>
      <w:pPr>
        <w:spacing w:after="140" w:before="0"/>
        <w:jc w:val="left"/>
      </w:pPr>
      <w:r>
        <w:rPr>
          <w:rFonts w:ascii="Aptos" w:cs="Aptos" w:eastAsia="Aptos" w:hAnsi="Aptos"/>
          <w:b w:val="false"/>
          <w:bCs w:val="false"/>
          <w:i w:val="false"/>
          <w:iCs w:val="false"/>
          <w:color w:val="000000"/>
          <w:sz w:val="24"/>
          <w:szCs w:val="24"/>
        </w:rPr>
        <w:t xml:space="preserve">This produces a score between 1 and 25. The score maps to a risk rating using the heat map below.</w:t>
      </w:r>
    </w:p>
    <w:p>
      <w:pPr>
        <w:pStyle w:val="Heading2"/>
        <w:spacing w:after="100" w:before="200"/>
      </w:pPr>
      <w:r>
        <w:rPr>
          <w:rFonts w:ascii="Aptos" w:cs="Aptos" w:eastAsia="Aptos" w:hAnsi="Aptos"/>
          <w:b/>
          <w:bCs/>
          <w:i w:val="false"/>
          <w:iCs w:val="false"/>
          <w:color w:val="000000"/>
          <w:sz w:val="32"/>
          <w:szCs w:val="32"/>
        </w:rPr>
        <w:t xml:space="preserve">6.1 Risk heat map</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1736"/>
        <w:gridCol w:w="1736"/>
        <w:gridCol w:w="1736"/>
        <w:gridCol w:w="1736"/>
        <w:gridCol w:w="1736"/>
      </w:tblGrid>
      <w:t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Likelihood \ Impact</w:t>
            </w:r>
          </w:p>
        </w:tc>
        <w:tc>
          <w:tcPr>
            <w:tcW w:type="dxa" w:w="173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1
Low</w:t>
            </w:r>
          </w:p>
        </w:tc>
        <w:tc>
          <w:tcPr>
            <w:tcW w:type="dxa" w:w="173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2
Medium</w:t>
            </w:r>
          </w:p>
        </w:tc>
        <w:tc>
          <w:tcPr>
            <w:tcW w:type="dxa" w:w="173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3
High</w:t>
            </w:r>
          </w:p>
        </w:tc>
        <w:tc>
          <w:tcPr>
            <w:tcW w:type="dxa" w:w="173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4
Severe</w:t>
            </w:r>
          </w:p>
        </w:tc>
        <w:tc>
          <w:tcPr>
            <w:tcW w:type="dxa" w:w="173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5
Catastrophic</w:t>
            </w:r>
          </w:p>
        </w:tc>
      </w:tr>
      <w:t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5 — Almost Certain</w:t>
            </w:r>
          </w:p>
        </w:tc>
        <w:tc>
          <w:tcPr>
            <w:tcW w:type="dxa" w:w="1736"/>
            <w:tcBorders>
              <w:top w:val="single" w:color="000000" w:sz="4"/>
              <w:left w:val="single" w:color="000000" w:sz="4"/>
              <w:bottom w:val="single" w:color="000000" w:sz="4"/>
              <w:right w:val="single" w:color="000000" w:sz="4"/>
            </w:tcBorders>
            <w:shd w:fill="FFBF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5
MEDIUM</w:t>
            </w:r>
          </w:p>
        </w:tc>
        <w:tc>
          <w:tcPr>
            <w:tcW w:type="dxa" w:w="1736"/>
            <w:tcBorders>
              <w:top w:val="single" w:color="000000" w:sz="4"/>
              <w:left w:val="single" w:color="000000" w:sz="4"/>
              <w:bottom w:val="single" w:color="000000" w:sz="4"/>
              <w:right w:val="single" w:color="000000" w:sz="4"/>
            </w:tcBorders>
            <w:shd w:fill="FF66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10
MED-HIGH</w:t>
            </w:r>
          </w:p>
        </w:tc>
        <w:tc>
          <w:tcPr>
            <w:tcW w:type="dxa" w:w="1736"/>
            <w:tcBorders>
              <w:top w:val="single" w:color="000000" w:sz="4"/>
              <w:left w:val="single" w:color="000000" w:sz="4"/>
              <w:bottom w:val="single" w:color="000000" w:sz="4"/>
              <w:right w:val="single" w:color="000000" w:sz="4"/>
            </w:tcBorders>
            <w:shd w:fill="FF00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15
HIGH</w:t>
            </w:r>
          </w:p>
        </w:tc>
        <w:tc>
          <w:tcPr>
            <w:tcW w:type="dxa" w:w="1736"/>
            <w:tcBorders>
              <w:top w:val="single" w:color="000000" w:sz="4"/>
              <w:left w:val="single" w:color="000000" w:sz="4"/>
              <w:bottom w:val="single" w:color="000000" w:sz="4"/>
              <w:right w:val="single" w:color="000000" w:sz="4"/>
            </w:tcBorders>
            <w:shd w:fill="C000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20
CRITICAL</w:t>
            </w:r>
          </w:p>
        </w:tc>
        <w:tc>
          <w:tcPr>
            <w:tcW w:type="dxa" w:w="1736"/>
            <w:tcBorders>
              <w:top w:val="single" w:color="000000" w:sz="4"/>
              <w:left w:val="single" w:color="000000" w:sz="4"/>
              <w:bottom w:val="single" w:color="000000" w:sz="4"/>
              <w:right w:val="single" w:color="000000" w:sz="4"/>
            </w:tcBorders>
            <w:shd w:fill="C000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25
CRITICAL</w:t>
            </w:r>
          </w:p>
        </w:tc>
      </w:tr>
      <w:t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4 — Likely</w:t>
            </w:r>
          </w:p>
        </w:tc>
        <w:tc>
          <w:tcPr>
            <w:tcW w:type="dxa" w:w="1736"/>
            <w:tcBorders>
              <w:top w:val="single" w:color="000000" w:sz="4"/>
              <w:left w:val="single" w:color="000000" w:sz="4"/>
              <w:bottom w:val="single" w:color="000000" w:sz="4"/>
              <w:right w:val="single" w:color="000000" w:sz="4"/>
            </w:tcBorders>
            <w:shd w:fill="FFBF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4
MEDIUM</w:t>
            </w:r>
          </w:p>
        </w:tc>
        <w:tc>
          <w:tcPr>
            <w:tcW w:type="dxa" w:w="1736"/>
            <w:tcBorders>
              <w:top w:val="single" w:color="000000" w:sz="4"/>
              <w:left w:val="single" w:color="000000" w:sz="4"/>
              <w:bottom w:val="single" w:color="000000" w:sz="4"/>
              <w:right w:val="single" w:color="000000" w:sz="4"/>
            </w:tcBorders>
            <w:shd w:fill="FF66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8
MED-HIGH</w:t>
            </w:r>
          </w:p>
        </w:tc>
        <w:tc>
          <w:tcPr>
            <w:tcW w:type="dxa" w:w="1736"/>
            <w:tcBorders>
              <w:top w:val="single" w:color="000000" w:sz="4"/>
              <w:left w:val="single" w:color="000000" w:sz="4"/>
              <w:bottom w:val="single" w:color="000000" w:sz="4"/>
              <w:right w:val="single" w:color="000000" w:sz="4"/>
            </w:tcBorders>
            <w:shd w:fill="FF00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12
HIGH</w:t>
            </w:r>
          </w:p>
        </w:tc>
        <w:tc>
          <w:tcPr>
            <w:tcW w:type="dxa" w:w="1736"/>
            <w:tcBorders>
              <w:top w:val="single" w:color="000000" w:sz="4"/>
              <w:left w:val="single" w:color="000000" w:sz="4"/>
              <w:bottom w:val="single" w:color="000000" w:sz="4"/>
              <w:right w:val="single" w:color="000000" w:sz="4"/>
            </w:tcBorders>
            <w:shd w:fill="FF00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16
HIGH</w:t>
            </w:r>
          </w:p>
        </w:tc>
        <w:tc>
          <w:tcPr>
            <w:tcW w:type="dxa" w:w="1736"/>
            <w:tcBorders>
              <w:top w:val="single" w:color="000000" w:sz="4"/>
              <w:left w:val="single" w:color="000000" w:sz="4"/>
              <w:bottom w:val="single" w:color="000000" w:sz="4"/>
              <w:right w:val="single" w:color="000000" w:sz="4"/>
            </w:tcBorders>
            <w:shd w:fill="C000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20
CRITICAL</w:t>
            </w:r>
          </w:p>
        </w:tc>
      </w:tr>
      <w:t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3 — Possible</w:t>
            </w:r>
          </w:p>
        </w:tc>
        <w:tc>
          <w:tcPr>
            <w:tcW w:type="dxa" w:w="1736"/>
            <w:tcBorders>
              <w:top w:val="single" w:color="000000" w:sz="4"/>
              <w:left w:val="single" w:color="000000" w:sz="4"/>
              <w:bottom w:val="single" w:color="000000" w:sz="4"/>
              <w:right w:val="single" w:color="000000" w:sz="4"/>
            </w:tcBorders>
            <w:shd w:fill="92D05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3
LOW</w:t>
            </w:r>
          </w:p>
        </w:tc>
        <w:tc>
          <w:tcPr>
            <w:tcW w:type="dxa" w:w="1736"/>
            <w:tcBorders>
              <w:top w:val="single" w:color="000000" w:sz="4"/>
              <w:left w:val="single" w:color="000000" w:sz="4"/>
              <w:bottom w:val="single" w:color="000000" w:sz="4"/>
              <w:right w:val="single" w:color="000000" w:sz="4"/>
            </w:tcBorders>
            <w:shd w:fill="FFBF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6
MEDIUM</w:t>
            </w:r>
          </w:p>
        </w:tc>
        <w:tc>
          <w:tcPr>
            <w:tcW w:type="dxa" w:w="1736"/>
            <w:tcBorders>
              <w:top w:val="single" w:color="000000" w:sz="4"/>
              <w:left w:val="single" w:color="000000" w:sz="4"/>
              <w:bottom w:val="single" w:color="000000" w:sz="4"/>
              <w:right w:val="single" w:color="000000" w:sz="4"/>
            </w:tcBorders>
            <w:shd w:fill="FF66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9
MED-HIGH</w:t>
            </w:r>
          </w:p>
        </w:tc>
        <w:tc>
          <w:tcPr>
            <w:tcW w:type="dxa" w:w="1736"/>
            <w:tcBorders>
              <w:top w:val="single" w:color="000000" w:sz="4"/>
              <w:left w:val="single" w:color="000000" w:sz="4"/>
              <w:bottom w:val="single" w:color="000000" w:sz="4"/>
              <w:right w:val="single" w:color="000000" w:sz="4"/>
            </w:tcBorders>
            <w:shd w:fill="FF00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12
HIGH</w:t>
            </w:r>
          </w:p>
        </w:tc>
        <w:tc>
          <w:tcPr>
            <w:tcW w:type="dxa" w:w="1736"/>
            <w:tcBorders>
              <w:top w:val="single" w:color="000000" w:sz="4"/>
              <w:left w:val="single" w:color="000000" w:sz="4"/>
              <w:bottom w:val="single" w:color="000000" w:sz="4"/>
              <w:right w:val="single" w:color="000000" w:sz="4"/>
            </w:tcBorders>
            <w:shd w:fill="FF00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15
HIGH</w:t>
            </w:r>
          </w:p>
        </w:tc>
      </w:tr>
      <w:t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2 — Unlikely</w:t>
            </w:r>
          </w:p>
        </w:tc>
        <w:tc>
          <w:tcPr>
            <w:tcW w:type="dxa" w:w="1736"/>
            <w:tcBorders>
              <w:top w:val="single" w:color="000000" w:sz="4"/>
              <w:left w:val="single" w:color="000000" w:sz="4"/>
              <w:bottom w:val="single" w:color="000000" w:sz="4"/>
              <w:right w:val="single" w:color="000000" w:sz="4"/>
            </w:tcBorders>
            <w:shd w:fill="92D05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2
LOW</w:t>
            </w:r>
          </w:p>
        </w:tc>
        <w:tc>
          <w:tcPr>
            <w:tcW w:type="dxa" w:w="1736"/>
            <w:tcBorders>
              <w:top w:val="single" w:color="000000" w:sz="4"/>
              <w:left w:val="single" w:color="000000" w:sz="4"/>
              <w:bottom w:val="single" w:color="000000" w:sz="4"/>
              <w:right w:val="single" w:color="000000" w:sz="4"/>
            </w:tcBorders>
            <w:shd w:fill="FFBF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4
MEDIUM</w:t>
            </w:r>
          </w:p>
        </w:tc>
        <w:tc>
          <w:tcPr>
            <w:tcW w:type="dxa" w:w="1736"/>
            <w:tcBorders>
              <w:top w:val="single" w:color="000000" w:sz="4"/>
              <w:left w:val="single" w:color="000000" w:sz="4"/>
              <w:bottom w:val="single" w:color="000000" w:sz="4"/>
              <w:right w:val="single" w:color="000000" w:sz="4"/>
            </w:tcBorders>
            <w:shd w:fill="FFBF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6
MEDIUM</w:t>
            </w:r>
          </w:p>
        </w:tc>
        <w:tc>
          <w:tcPr>
            <w:tcW w:type="dxa" w:w="1736"/>
            <w:tcBorders>
              <w:top w:val="single" w:color="000000" w:sz="4"/>
              <w:left w:val="single" w:color="000000" w:sz="4"/>
              <w:bottom w:val="single" w:color="000000" w:sz="4"/>
              <w:right w:val="single" w:color="000000" w:sz="4"/>
            </w:tcBorders>
            <w:shd w:fill="FF66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8
MED-HIGH</w:t>
            </w:r>
          </w:p>
        </w:tc>
        <w:tc>
          <w:tcPr>
            <w:tcW w:type="dxa" w:w="1736"/>
            <w:tcBorders>
              <w:top w:val="single" w:color="000000" w:sz="4"/>
              <w:left w:val="single" w:color="000000" w:sz="4"/>
              <w:bottom w:val="single" w:color="000000" w:sz="4"/>
              <w:right w:val="single" w:color="000000" w:sz="4"/>
            </w:tcBorders>
            <w:shd w:fill="FF66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10
MED-HIGH</w:t>
            </w:r>
          </w:p>
        </w:tc>
      </w:tr>
      <w:t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1 — Rare</w:t>
            </w:r>
          </w:p>
        </w:tc>
        <w:tc>
          <w:tcPr>
            <w:tcW w:type="dxa" w:w="1736"/>
            <w:tcBorders>
              <w:top w:val="single" w:color="000000" w:sz="4"/>
              <w:left w:val="single" w:color="000000" w:sz="4"/>
              <w:bottom w:val="single" w:color="000000" w:sz="4"/>
              <w:right w:val="single" w:color="000000" w:sz="4"/>
            </w:tcBorders>
            <w:shd w:fill="92D05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1
LOW</w:t>
            </w:r>
          </w:p>
        </w:tc>
        <w:tc>
          <w:tcPr>
            <w:tcW w:type="dxa" w:w="1736"/>
            <w:tcBorders>
              <w:top w:val="single" w:color="000000" w:sz="4"/>
              <w:left w:val="single" w:color="000000" w:sz="4"/>
              <w:bottom w:val="single" w:color="000000" w:sz="4"/>
              <w:right w:val="single" w:color="000000" w:sz="4"/>
            </w:tcBorders>
            <w:shd w:fill="92D05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2
LOW</w:t>
            </w:r>
          </w:p>
        </w:tc>
        <w:tc>
          <w:tcPr>
            <w:tcW w:type="dxa" w:w="1736"/>
            <w:tcBorders>
              <w:top w:val="single" w:color="000000" w:sz="4"/>
              <w:left w:val="single" w:color="000000" w:sz="4"/>
              <w:bottom w:val="single" w:color="000000" w:sz="4"/>
              <w:right w:val="single" w:color="000000" w:sz="4"/>
            </w:tcBorders>
            <w:shd w:fill="92D05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3
LOW</w:t>
            </w:r>
          </w:p>
        </w:tc>
        <w:tc>
          <w:tcPr>
            <w:tcW w:type="dxa" w:w="1736"/>
            <w:tcBorders>
              <w:top w:val="single" w:color="000000" w:sz="4"/>
              <w:left w:val="single" w:color="000000" w:sz="4"/>
              <w:bottom w:val="single" w:color="000000" w:sz="4"/>
              <w:right w:val="single" w:color="000000" w:sz="4"/>
            </w:tcBorders>
            <w:shd w:fill="FFBF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4
MEDIUM</w:t>
            </w:r>
          </w:p>
        </w:tc>
        <w:tc>
          <w:tcPr>
            <w:tcW w:type="dxa" w:w="1736"/>
            <w:tcBorders>
              <w:top w:val="single" w:color="000000" w:sz="4"/>
              <w:left w:val="single" w:color="000000" w:sz="4"/>
              <w:bottom w:val="single" w:color="000000" w:sz="4"/>
              <w:right w:val="single" w:color="000000" w:sz="4"/>
            </w:tcBorders>
            <w:shd w:fill="FFBF00"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FFFF"/>
                <w:sz w:val="22"/>
                <w:szCs w:val="22"/>
              </w:rPr>
              <w:t xml:space="preserve">5
MEDIUM</w:t>
            </w:r>
          </w:p>
        </w:tc>
      </w:tr>
    </w:tbl>
    <w:p>
      <w:pPr>
        <w:pStyle w:val="Heading2"/>
        <w:spacing w:after="100" w:before="200"/>
      </w:pPr>
      <w:r>
        <w:rPr>
          <w:rFonts w:ascii="Aptos" w:cs="Aptos" w:eastAsia="Aptos" w:hAnsi="Aptos"/>
          <w:b/>
          <w:bCs/>
          <w:i w:val="false"/>
          <w:iCs w:val="false"/>
          <w:color w:val="000000"/>
          <w:sz w:val="32"/>
          <w:szCs w:val="32"/>
        </w:rPr>
        <w:t xml:space="preserve">6.2 Rating definitions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2400"/>
        <w:gridCol w:w="60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Rating</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Score range</w:t>
            </w:r>
          </w:p>
        </w:tc>
        <w:tc>
          <w:tcPr>
            <w:tcW w:type="dxa" w:w="6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Meaning for MediSync</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20–25</w:t>
            </w:r>
          </w:p>
        </w:tc>
        <w:tc>
          <w:tcPr>
            <w:tcW w:type="dxa" w:w="6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Immediate action required. Cannot proceed with the activity that creates this risk without a treatment decision. Steering Committee visibility mandatory.</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12–19</w:t>
            </w:r>
          </w:p>
        </w:tc>
        <w:tc>
          <w:tcPr>
            <w:tcW w:type="dxa" w:w="6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 required within 90 days. Risk owner must be named. Reported to CISO monthly until treated.</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MED-HIGH</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8–11</w:t>
            </w:r>
          </w:p>
        </w:tc>
        <w:tc>
          <w:tcPr>
            <w:tcW w:type="dxa" w:w="6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 required within 120 days. Risk owner named. Reported quarterly.</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4–7</w:t>
            </w:r>
          </w:p>
        </w:tc>
        <w:tc>
          <w:tcPr>
            <w:tcW w:type="dxa" w:w="6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 within the current ISMS planning cycle (12 months). Monitor quarterly.</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w:t>
            </w:r>
          </w:p>
        </w:tc>
        <w:tc>
          <w:tcPr>
            <w:tcW w:type="dxa" w:w="6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Accept or monitor. Reviewed annually. No mandatory treatment unless the risk landscape changes.</w:t>
            </w:r>
          </w:p>
        </w:tc>
      </w:tr>
    </w:tbl>
    <w:p>
      <w:pPr>
        <w:pStyle w:val="Heading1"/>
        <w:spacing w:after="120" w:before="300"/>
      </w:pPr>
      <w:r>
        <w:rPr>
          <w:rFonts w:ascii="Aptos" w:cs="Aptos" w:eastAsia="Aptos" w:hAnsi="Aptos"/>
          <w:b/>
          <w:bCs/>
          <w:i w:val="false"/>
          <w:iCs w:val="false"/>
          <w:color w:val="000000"/>
          <w:sz w:val="36"/>
          <w:szCs w:val="36"/>
        </w:rPr>
        <w:t xml:space="preserve">7. Control Effectiveness and Residual Risk</w:t>
      </w:r>
    </w:p>
    <w:p>
      <w:pPr>
        <w:spacing w:after="140" w:before="0"/>
        <w:jc w:val="left"/>
      </w:pPr>
      <w:r>
        <w:rPr>
          <w:rFonts w:ascii="Aptos" w:cs="Aptos" w:eastAsia="Aptos" w:hAnsi="Aptos"/>
          <w:b w:val="false"/>
          <w:bCs w:val="false"/>
          <w:i w:val="false"/>
          <w:iCs w:val="false"/>
          <w:color w:val="000000"/>
          <w:sz w:val="24"/>
          <w:szCs w:val="24"/>
        </w:rPr>
        <w:t xml:space="preserve">Residual risk is the risk remaining after existing controls are applied. It is calculated by adjusting the inherent risk score based on the effectiveness of controls currently in place.</w:t>
      </w:r>
    </w:p>
    <w:p>
      <w:pPr>
        <w:pStyle w:val="Heading2"/>
        <w:spacing w:after="100" w:before="200"/>
      </w:pPr>
      <w:r>
        <w:rPr>
          <w:rFonts w:ascii="Aptos" w:cs="Aptos" w:eastAsia="Aptos" w:hAnsi="Aptos"/>
          <w:b/>
          <w:bCs/>
          <w:i w:val="false"/>
          <w:iCs w:val="false"/>
          <w:color w:val="000000"/>
          <w:sz w:val="32"/>
          <w:szCs w:val="32"/>
        </w:rPr>
        <w:t xml:space="preserve">7.1 Control effectiveness rating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2600"/>
        <w:gridCol w:w="6080"/>
      </w:tblGrid>
      <w:tr>
        <w:trPr>
          <w:cantSplit/>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Rating</w:t>
            </w:r>
          </w:p>
        </w:tc>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Definition</w:t>
            </w:r>
          </w:p>
        </w:tc>
        <w:tc>
          <w:tcPr>
            <w:tcW w:type="dxa" w:w="6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Application to MediSync</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Fully effective</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is documented, operating consistently and evidence exists.</w:t>
            </w:r>
          </w:p>
        </w:tc>
        <w:tc>
          <w:tcPr>
            <w:tcW w:type="dxa" w:w="6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Encryption at rest/transit, MFA via Entra ID — these reduce inherent risk scores as fully effective.</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Partially effective</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exists but is incomplete, inconsistently applied, or evidence is insufficient.</w:t>
            </w:r>
          </w:p>
        </w:tc>
        <w:tc>
          <w:tcPr>
            <w:tcW w:type="dxa" w:w="6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SIEM monitoring — deployed and capable but procedures not documented. Reduces risk score partially.</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effective</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exists on paper but is not operating. Or no control exists.</w:t>
            </w:r>
          </w:p>
        </w:tc>
        <w:tc>
          <w:tcPr>
            <w:tcW w:type="dxa" w:w="6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response plan that has never been tested. Does not reduce the inherent risk score.</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relevant control for this risk.</w:t>
            </w:r>
          </w:p>
        </w:tc>
        <w:tc>
          <w:tcPr>
            <w:tcW w:type="dxa" w:w="6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 as not effective for scoring purposes.</w:t>
            </w:r>
          </w:p>
        </w:tc>
      </w:tr>
    </w:tbl>
    <w:p>
      <w:pPr>
        <w:pStyle w:val="Heading2"/>
        <w:spacing w:after="100" w:before="200"/>
      </w:pPr>
      <w:r>
        <w:rPr>
          <w:rFonts w:ascii="Aptos" w:cs="Aptos" w:eastAsia="Aptos" w:hAnsi="Aptos"/>
          <w:b/>
          <w:bCs/>
          <w:i w:val="false"/>
          <w:iCs w:val="false"/>
          <w:color w:val="000000"/>
          <w:sz w:val="32"/>
          <w:szCs w:val="32"/>
        </w:rPr>
        <w:t xml:space="preserve">7.2 Residual risk calculation</w:t>
      </w:r>
    </w:p>
    <w:p>
      <w:pPr>
        <w:spacing w:after="140" w:before="0"/>
        <w:jc w:val="left"/>
      </w:pPr>
      <w:r>
        <w:rPr>
          <w:rFonts w:ascii="Aptos" w:cs="Aptos" w:eastAsia="Aptos" w:hAnsi="Aptos"/>
          <w:b w:val="false"/>
          <w:bCs w:val="false"/>
          <w:i w:val="false"/>
          <w:iCs w:val="false"/>
          <w:color w:val="000000"/>
          <w:sz w:val="24"/>
          <w:szCs w:val="24"/>
        </w:rPr>
        <w:t xml:space="preserve">The residual risk score is calculated by reducing the inherent risk score based on control effectiveness: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Control effectiveness</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Residual risk adjustment</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Fully effective</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Reduce likelihood score by up to 2 points OR impact score by 1 point (not both for the same control). Minimum score of 1 in either dimension.</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Partially effective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Reduce likelihood score by 1 point. No impact reduction.</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effective / N/A</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adjustment. Residual risk = inherent risk.</w:t>
            </w:r>
          </w:p>
        </w:tc>
      </w:tr>
    </w:tbl>
    <w:p>
      <w:pPr>
        <w:spacing w:after="140" w:before="60"/>
        <w:jc w:val="left"/>
      </w:pPr>
      <w:r>
        <w:rPr>
          <w:rFonts w:ascii="Aptos" w:cs="Aptos" w:eastAsia="Aptos" w:hAnsi="Aptos"/>
          <w:b w:val="false"/>
          <w:bCs w:val="false"/>
          <w:i w:val="false"/>
          <w:iCs w:val="false"/>
          <w:color w:val="000000"/>
          <w:sz w:val="24"/>
          <w:szCs w:val="24"/>
        </w:rPr>
        <w:t xml:space="preserve">Residual risk is mapped through the same heat map as inherent risk. The risk register records both the inherent rating and the residual rating for every risk.</w:t>
      </w:r>
    </w:p>
    <w:p>
      <w:pPr>
        <w:spacing w:after="140" w:before="0"/>
        <w:jc w:val="left"/>
      </w:pPr>
      <w:r>
        <w:rPr>
          <w:rFonts w:ascii="Aptos" w:cs="Aptos" w:eastAsia="Aptos" w:hAnsi="Aptos"/>
          <w:b w:val="false"/>
          <w:bCs w:val="false"/>
          <w:i w:val="false"/>
          <w:iCs w:val="false"/>
          <w:color w:val="000000"/>
          <w:sz w:val="24"/>
          <w:szCs w:val="24"/>
        </w:rPr>
        <w:t xml:space="preserve">Important: a risk whose residual rating is above the defined appetite threshold is not acceptable — regardless of the controls in place. It requires a formal treatment decision. This is not negotiable and cannot be overridden by the asset owner.</w:t>
      </w:r>
    </w:p>
    <w:p>
      <w:pPr>
        <w:pStyle w:val="Heading1"/>
        <w:spacing w:after="120" w:before="300"/>
      </w:pPr>
      <w:r>
        <w:rPr>
          <w:rFonts w:ascii="Aptos" w:cs="Aptos" w:eastAsia="Aptos" w:hAnsi="Aptos"/>
          <w:b/>
          <w:bCs/>
          <w:i w:val="false"/>
          <w:iCs w:val="false"/>
          <w:color w:val="000000"/>
          <w:sz w:val="36"/>
          <w:szCs w:val="36"/>
        </w:rPr>
        <w:t xml:space="preserve">8. Risk Evaluation and Prioritisation</w:t>
      </w:r>
    </w:p>
    <w:p>
      <w:pPr>
        <w:spacing w:after="140" w:before="0"/>
        <w:jc w:val="left"/>
      </w:pPr>
      <w:r>
        <w:rPr>
          <w:rFonts w:ascii="Aptos" w:cs="Aptos" w:eastAsia="Aptos" w:hAnsi="Aptos"/>
          <w:b w:val="false"/>
          <w:bCs w:val="false"/>
          <w:i w:val="false"/>
          <w:iCs w:val="false"/>
          <w:color w:val="000000"/>
          <w:sz w:val="24"/>
          <w:szCs w:val="24"/>
        </w:rPr>
        <w:t xml:space="preserve">Risk evaluation is the process of deciding which risks require treatment and in what order. The criteria are: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7080"/>
      </w:tblGrid>
      <w:tr>
        <w:trPr>
          <w:cantSplit/>
          <w:tblHeader/>
        </w:trPr>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Criterion</w:t>
            </w:r>
          </w:p>
        </w:tc>
        <w:tc>
          <w:tcPr>
            <w:tcW w:type="dxa" w:w="7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Rule</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 vs. appetite</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Any risk with a residual rating above the defined appetite threshold requires treatment. No exceptions. The appetite thresholds are defined in ISMS-PLN-002.</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or contractual obligation</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Any risk whose realisation would constitute a regulatory breach (DPDP Act, UAE PDPL, CERT-In) or a material contract breach is treated regardless of residual risk rating.</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Correlated failure risk</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Risks affecting the shared platform layer (identity, API-GW, data tier) are prioritised above equivalent-rated product-layer risks, because their blast radius is greater.</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near-miss or incident</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Risks with a confirmed prior near-miss at MediSync (phishing payment, cloud misconfiguration) are given priority treatment regardless of their formal risk rating.</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Deprioritisation</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risk may be formally accepted only where: its residual rating is within appetite; the risk owner has reviewed and signed the acceptance; and the acceptance is time-limited (maximum 12 months, renewable).</w:t>
            </w:r>
          </w:p>
        </w:tc>
      </w:tr>
    </w:tbl>
    <w:p>
      <w:pPr>
        <w:pStyle w:val="Heading1"/>
        <w:spacing w:after="120" w:before="300"/>
      </w:pPr>
      <w:r>
        <w:rPr>
          <w:rFonts w:ascii="Aptos" w:cs="Aptos" w:eastAsia="Aptos" w:hAnsi="Aptos"/>
          <w:b/>
          <w:bCs/>
          <w:i w:val="false"/>
          <w:iCs w:val="false"/>
          <w:color w:val="000000"/>
          <w:sz w:val="36"/>
          <w:szCs w:val="36"/>
        </w:rPr>
        <w:t xml:space="preserve">9. Assessment Process Steps</w:t>
      </w:r>
    </w:p>
    <w:p>
      <w:pPr>
        <w:spacing w:after="140" w:before="0"/>
        <w:jc w:val="left"/>
      </w:pPr>
      <w:r>
        <w:rPr>
          <w:rFonts w:ascii="Aptos" w:cs="Aptos" w:eastAsia="Aptos" w:hAnsi="Aptos"/>
          <w:b w:val="false"/>
          <w:bCs w:val="false"/>
          <w:i w:val="false"/>
          <w:iCs w:val="false"/>
          <w:color w:val="000000"/>
          <w:sz w:val="24"/>
          <w:szCs w:val="24"/>
        </w:rPr>
        <w:t xml:space="preserve">The following sequence is followed for every risk assessment cycle — initial (Phase 3) and periodic (ISMS-OPS-011).</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3000"/>
        <w:gridCol w:w="62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Step</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Activity</w:t>
            </w:r>
          </w:p>
        </w:tc>
        <w:tc>
          <w:tcPr>
            <w:tcW w:type="dxa" w:w="6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Output</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Asset enumeration</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Asset Register (ISMS-PLN-003) — shared platform layer first, product layer second.</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 and vulnerability identification</w:t>
            </w:r>
          </w:p>
        </w:tc>
        <w:tc>
          <w:tcPr>
            <w:tcW w:type="dxa" w:w="6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identification worksheets — one per asset group and per scenario. Four components documented: asset, threat, vulnerability, consequence.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Inherent risk scoring</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Likelihood (1–5) × Impact (1–5) per CIA dimension. Highest CIA dimension score used as Impact. Score mapped to heat map rating.</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identification</w:t>
            </w:r>
          </w:p>
        </w:tc>
        <w:tc>
          <w:tcPr>
            <w:tcW w:type="dxa" w:w="6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Existing controls identified per risk. Effectiveness rated: Fully / Partially / Not effective.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 scoring</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Inherent score adjusted per Section 7. Residual rating mapped to heat map.</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Evaluation against appetite</w:t>
            </w:r>
          </w:p>
        </w:tc>
        <w:tc>
          <w:tcPr>
            <w:tcW w:type="dxa" w:w="6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rating compared to thresholds in ISMS-PLN-002. Risks above appetite flagged for mandatory treatment.</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Prioritisation</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priority assigned: Critical/High immediately; Med-High within 120 days; Medium within 12 months.</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Register population</w:t>
            </w:r>
          </w:p>
        </w:tc>
        <w:tc>
          <w:tcPr>
            <w:tcW w:type="dxa" w:w="6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risks entered into ISMS-PLN-004 Risk Register with inherent rating, controls, residual rating, owner, treatment priority.</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planning</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ISMS-PLN-005 Risk Treatment Plan produced for all risks requiring treatment.</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and approval</w:t>
            </w:r>
          </w:p>
        </w:tc>
        <w:tc>
          <w:tcPr>
            <w:tcW w:type="dxa" w:w="6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reviews and approves the completed risk register. Steering Committee reviews risks above appetite.</w:t>
            </w:r>
          </w:p>
        </w:tc>
      </w:tr>
    </w:tbl>
    <w:p>
      <w:pPr>
        <w:pStyle w:val="Heading1"/>
        <w:spacing w:after="120" w:before="300"/>
      </w:pPr>
      <w:r>
        <w:rPr>
          <w:rFonts w:ascii="Aptos" w:cs="Aptos" w:eastAsia="Aptos" w:hAnsi="Aptos"/>
          <w:b/>
          <w:bCs/>
          <w:i w:val="false"/>
          <w:iCs w:val="false"/>
          <w:color w:val="000000"/>
          <w:sz w:val="36"/>
          <w:szCs w:val="36"/>
        </w:rPr>
        <w:t xml:space="preserve">10. Reassessment Triggers</w:t>
      </w:r>
    </w:p>
    <w:p>
      <w:pPr>
        <w:spacing w:after="140" w:before="0"/>
        <w:jc w:val="left"/>
      </w:pPr>
      <w:r>
        <w:rPr>
          <w:rFonts w:ascii="Aptos" w:cs="Aptos" w:eastAsia="Aptos" w:hAnsi="Aptos"/>
          <w:b w:val="false"/>
          <w:bCs w:val="false"/>
          <w:i w:val="false"/>
          <w:iCs w:val="false"/>
          <w:color w:val="000000"/>
          <w:sz w:val="24"/>
          <w:szCs w:val="24"/>
        </w:rPr>
        <w:t xml:space="preserve">The risk register is a live document. A full or partial reassessment is triggered by any of the following: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significant security incident or confirmed breach affecting MediSync or a comparable healthcare SaaS organisation.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Introduction of a new product, system, cloud region, or office location.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Material change to a Tier 1 vendor arrangement.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New regulatory obligation or material change to an existing one (DPDP Act, UAE PDPL, CERT-In updates).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Annual management review — full reassessment as part of the Clause 9.3 cycle.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Internal or external audit finding that reveals an unidentified or misrated risk.</w:t>
      </w:r>
    </w:p>
    <w:p>
      <w:pPr>
        <w:spacing w:after="140" w:before="60"/>
        <w:jc w:val="left"/>
      </w:pPr>
      <w:r>
        <w:rPr>
          <w:rFonts w:ascii="Aptos" w:cs="Aptos" w:eastAsia="Aptos" w:hAnsi="Aptos"/>
          <w:b w:val="false"/>
          <w:bCs w:val="false"/>
          <w:i w:val="false"/>
          <w:iCs w:val="false"/>
          <w:color w:val="000000"/>
          <w:sz w:val="24"/>
          <w:szCs w:val="24"/>
        </w:rPr>
        <w:t xml:space="preserve">Partial reassessments cover only the affected asset groups and scenarios. They use the same methodology — no ad-hoc scoring is permitted.</w:t>
      </w:r>
    </w:p>
    <w:p>
      <w:pPr>
        <w:pStyle w:val="Heading1"/>
        <w:spacing w:after="120" w:before="300"/>
      </w:pPr>
      <w:r>
        <w:rPr>
          <w:rFonts w:ascii="Aptos" w:cs="Aptos" w:eastAsia="Aptos" w:hAnsi="Aptos"/>
          <w:b/>
          <w:bCs/>
          <w:i w:val="false"/>
          <w:iCs w:val="false"/>
          <w:color w:val="000000"/>
          <w:sz w:val="36"/>
          <w:szCs w:val="36"/>
        </w:rPr>
        <w:t xml:space="preserve">11. Roles and Responsibilities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Responsibility in the risk assessment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(Vikram Sundaram)</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this methodology. Facilitates risk workshops with asset owners. Reviews and approves the completed risk register. Signs off any risk accepted above appetite (after Steering Committee approval).</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(Meera Iyer)</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Maintains the risk register (ISMS-PLN-004). Tracks treatment plan completion. Reports risk posture to the Steering Committee quarterly. Coordinates reassessment cycles.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Asset owners / dept heads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Participate in risk workshops for their asset domains. Own the risks assigned to their assets. Are accountable for implementing treatment actions within agreed timelines.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Facilitates the Phase 3 initial risk assessment workshops. Produces the first draft of ISMS-PLN-004 and ISMS-PLN-005 based on workshop outputs.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Receives risks above appetite for formal acceptance or treatment decision. Approves the risk register and treatment plan at M-03 gate.</w:t>
            </w:r>
          </w:p>
        </w:tc>
      </w:tr>
    </w:tbl>
    <w:p>
      <w:pPr>
        <w:pStyle w:val="Heading1"/>
        <w:spacing w:after="120" w:before="300"/>
      </w:pPr>
      <w:r>
        <w:rPr>
          <w:rFonts w:ascii="Aptos" w:cs="Aptos" w:eastAsia="Aptos" w:hAnsi="Aptos"/>
          <w:b/>
          <w:bCs/>
          <w:i w:val="false"/>
          <w:iCs w:val="false"/>
          <w:color w:val="000000"/>
          <w:sz w:val="36"/>
          <w:szCs w:val="36"/>
        </w:rPr>
        <w:t xml:space="preserve">12. Approval</w:t>
      </w:r>
    </w:p>
    <w:p>
      <w:pPr>
        <w:spacing w:after="140" w:before="0"/>
        <w:jc w:val="left"/>
      </w:pPr>
      <w:r>
        <w:rPr>
          <w:rFonts w:ascii="Aptos" w:cs="Aptos" w:eastAsia="Aptos" w:hAnsi="Aptos"/>
          <w:b w:val="false"/>
          <w:bCs w:val="false"/>
          <w:i w:val="false"/>
          <w:iCs w:val="false"/>
          <w:color w:val="000000"/>
          <w:sz w:val="24"/>
          <w:szCs w:val="24"/>
        </w:rPr>
        <w:t xml:space="preserve">The methodology is fixed on approval. No risk may be scored until this document is approved. Any change to the scoring scales or heat map boundaries requires a reissue and re-scoring of all risks assessed under the previous version.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Methodology owner — prepared and approved for use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Apr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Register integration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Apr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ISMS-PLN-001  |  Risk Assessment Methodology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2026-08-24T11:19:23.608Z</dcterms:created>
  <dcterms:modified xsi:type="dcterms:W3CDTF">2026-08-24T11:19:23.622Z</dcterms:modified>
</cp:coreProperties>
</file>

<file path=docProps/custom.xml><?xml version="1.0" encoding="utf-8"?>
<Properties xmlns="http://schemas.openxmlformats.org/officeDocument/2006/custom-properties" xmlns:vt="http://schemas.openxmlformats.org/officeDocument/2006/docPropsVTypes"/>
</file>