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RISK APPETITE &amp; CRITERIA DOCUMENT</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&amp; Criteria Document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6.1.2(a) — Risk Acceptance Criteria; Clause 6.1.2(b) — Risk Assessment Criteria</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2 of 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Appetite Baseline Set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chaired by Ananya Rao — CEO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Section 17 — Risk Appetite Statement; ratified by senior management at the Leadership Commitment Meeting (ISMS-LDR-009, Decision D-04 context)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Review</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Annually at management review. Earlier if the organisation's risk profile changes materially.</w:t>
            </w:r>
          </w:p>
        </w:tc>
      </w:tr>
    </w:tbl>
    <w:p>
      <w:pPr>
        <w:spacing w:after="200" w:before="140"/>
      </w:pPr>
      <w:r>
        <w:rPr>
          <w:rFonts w:ascii="Aptos" w:cs="Aptos" w:eastAsia="Aptos" w:hAnsi="Aptos"/>
          <w:b w:val="false"/>
          <w:bCs w:val="false"/>
          <w:i/>
          <w:iCs/>
          <w:color w:val="000000"/>
          <w:sz w:val="24"/>
          <w:szCs w:val="24"/>
        </w:rPr>
        <w:t xml:space="preserve">This document translates the senior management risk appetite statement into operational criteria. Every risk in ISMS-PLN-004 is evaluated against these criteria. No risk may be formally accepted or treated without reference to this document.</w:t>
      </w:r>
    </w:p>
    <w:p>
      <w:pPr>
        <w:pStyle w:val="Heading1"/>
        <w:spacing w:after="120" w:before="28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ISO/IEC 27001:2022 Clause 6.1.2 requires MediSync to define risk acceptance criteria and criteria for performing risk assessments before the risk assessment starts. This document fulfils that requirement.</w:t>
      </w:r>
    </w:p>
    <w:p>
      <w:pPr>
        <w:spacing w:after="140" w:before="0"/>
        <w:jc w:val="left"/>
      </w:pPr>
      <w:r>
        <w:rPr>
          <w:rFonts w:ascii="Aptos" w:cs="Aptos" w:eastAsia="Aptos" w:hAnsi="Aptos"/>
          <w:b w:val="false"/>
          <w:bCs w:val="false"/>
          <w:i w:val="false"/>
          <w:iCs w:val="false"/>
          <w:color w:val="000000"/>
          <w:sz w:val="24"/>
          <w:szCs w:val="24"/>
        </w:rPr>
        <w:t xml:space="preserve">It answers two questions: how much risk is MediSync willing to live with (appetite), and at what point does a risk require a formal response (threshold). The risk assessment methodology (ISMS-PLN-001) defines how scores are calculated. This document defines what those scores mean for treatment decisions.</w:t>
      </w:r>
    </w:p>
    <w:p>
      <w:pPr>
        <w:pStyle w:val="Heading1"/>
        <w:spacing w:after="120" w:before="280"/>
      </w:pPr>
      <w:r>
        <w:rPr>
          <w:rFonts w:ascii="Aptos" w:cs="Aptos" w:eastAsia="Aptos" w:hAnsi="Aptos"/>
          <w:b/>
          <w:bCs/>
          <w:i w:val="false"/>
          <w:iCs w:val="false"/>
          <w:color w:val="000000"/>
          <w:sz w:val="36"/>
          <w:szCs w:val="36"/>
        </w:rPr>
        <w:t xml:space="preserve">2. Risk Appetite Statement</w:t>
      </w:r>
    </w:p>
    <w:p>
      <w:pPr>
        <w:spacing w:after="140" w:before="0"/>
        <w:jc w:val="left"/>
      </w:pPr>
      <w:r>
        <w:rPr>
          <w:rFonts w:ascii="Aptos" w:cs="Aptos" w:eastAsia="Aptos" w:hAnsi="Aptos"/>
          <w:b w:val="false"/>
          <w:bCs w:val="false"/>
          <w:i w:val="false"/>
          <w:iCs w:val="false"/>
          <w:color w:val="000000"/>
          <w:sz w:val="24"/>
          <w:szCs w:val="24"/>
        </w:rPr>
        <w:t xml:space="preserve">The following appetite statement was defined by senior management and is sourced from ISMS-CSD-001 Section 17. It is restated here in its operational form.</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400"/>
        <w:gridCol w:w="3000"/>
        <w:gridCol w:w="1680"/>
        <w:gridCol w:w="1600"/>
      </w:tblGrid>
      <w:tr>
        <w:trPr>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Level</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Risk Category</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Definition</w:t>
            </w:r>
          </w:p>
        </w:tc>
        <w:tc>
          <w:tcPr>
            <w:tcW w:type="dxa" w:w="1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Threshold
(Heat Map)</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Required Action</w:t>
            </w:r>
          </w:p>
        </w:tc>
      </w:tr>
      <w:tr>
        <w:trPr>
          <w:cantSplit/>
        </w:trPr>
        <w:tc>
          <w:tcPr>
            <w:tcW w:type="dxa" w:w="1400"/>
            <w:tcBorders>
              <w:top w:val="single" w:color="000000" w:sz="4"/>
              <w:left w:val="single" w:color="000000" w:sz="4"/>
              <w:bottom w:val="single" w:color="000000" w:sz="4"/>
              <w:right w:val="single" w:color="000000" w:sz="4"/>
            </w:tcBorders>
            <w:shd w:fill="FFDCE1"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C00000"/>
                <w:sz w:val="24"/>
                <w:szCs w:val="24"/>
              </w:rPr>
              <w:t xml:space="preserve">VERY LOW</w:t>
            </w:r>
          </w:p>
        </w:tc>
        <w:tc>
          <w:tcPr>
            <w:tcW w:type="dxa" w:w="2400"/>
            <w:tcBorders>
              <w:top w:val="single" w:color="000000" w:sz="4"/>
              <w:left w:val="single" w:color="000000" w:sz="4"/>
              <w:bottom w:val="single" w:color="000000" w:sz="4"/>
              <w:right w:val="single" w:color="000000" w:sz="4"/>
            </w:tcBorders>
            <w:shd w:fill="FFDCE1" w:color="auto" w:val="clear"/>
            <w:tcMar>
              <w:top w:type="dxa" w:w="80"/>
              <w:left w:type="dxa" w:w="120"/>
              <w:bottom w:type="dxa" w:w="80"/>
              <w:right w:type="dxa" w:w="120"/>
            </w:tcMar>
            <w:vAlign w:val="center"/>
          </w:tcPr>
          <w:p>
            <w:pPr>
              <w:jc w:val="left"/>
            </w:pPr>
            <w:r>
              <w:rPr>
                <w:rFonts w:ascii="Aptos" w:cs="Aptos" w:eastAsia="Aptos" w:hAnsi="Aptos"/>
                <w:b/>
                <w:bCs/>
                <w:i w:val="false"/>
                <w:iCs w:val="false"/>
                <w:color w:val="000000"/>
                <w:sz w:val="24"/>
                <w:szCs w:val="24"/>
              </w:rPr>
              <w:t xml:space="preserve">Intentional insider misuse or external cyberattack on production systems</w:t>
            </w:r>
          </w:p>
        </w:tc>
        <w:tc>
          <w:tcPr>
            <w:tcW w:type="dxa" w:w="3000"/>
            <w:tcBorders>
              <w:top w:val="single" w:color="000000" w:sz="4"/>
              <w:left w:val="single" w:color="000000" w:sz="4"/>
              <w:bottom w:val="single" w:color="000000" w:sz="4"/>
              <w:right w:val="single" w:color="000000" w:sz="4"/>
            </w:tcBorders>
            <w:shd w:fill="FFDCE1"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MediSync operates in healthcare. A targeted attack on production systems carrying patient data is not a risk the organisation can absorb. Controls must prevent, detect and contain — not just respond.</w:t>
            </w:r>
          </w:p>
        </w:tc>
        <w:tc>
          <w:tcPr>
            <w:tcW w:type="dxa" w:w="1680"/>
            <w:tcBorders>
              <w:top w:val="single" w:color="000000" w:sz="4"/>
              <w:left w:val="single" w:color="000000" w:sz="4"/>
              <w:bottom w:val="single" w:color="000000" w:sz="4"/>
              <w:right w:val="single" w:color="000000" w:sz="4"/>
            </w:tcBorders>
            <w:shd w:fill="FFDCE1"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ANY rating</w:t>
            </w:r>
          </w:p>
        </w:tc>
        <w:tc>
          <w:tcPr>
            <w:tcW w:type="dxa" w:w="1600"/>
            <w:tcBorders>
              <w:top w:val="single" w:color="000000" w:sz="4"/>
              <w:left w:val="single" w:color="000000" w:sz="4"/>
              <w:bottom w:val="single" w:color="000000" w:sz="4"/>
              <w:right w:val="single" w:color="000000" w:sz="4"/>
            </w:tcBorders>
            <w:shd w:fill="FFDCE1"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Mandatory treatment. No acceptance permitted. Steering Committee notified immediately.</w:t>
            </w:r>
          </w:p>
        </w:tc>
      </w:tr>
      <w:tr>
        <w:trPr>
          <w:cantSplit/>
        </w:trPr>
        <w:tc>
          <w:tcPr>
            <w:tcW w:type="dxa" w:w="14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LOW</w:t>
            </w:r>
          </w:p>
        </w:tc>
        <w:tc>
          <w:tcPr>
            <w:tcW w:type="dxa" w:w="24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bCs/>
                <w:i w:val="false"/>
                <w:iCs w:val="false"/>
                <w:color w:val="000000"/>
                <w:sz w:val="24"/>
                <w:szCs w:val="24"/>
              </w:rPr>
              <w:t xml:space="preserve">Patient data confidentiality, integrity or availability (Restricted-classified)</w:t>
            </w:r>
          </w:p>
        </w:tc>
        <w:tc>
          <w:tcPr>
            <w:tcW w:type="dxa" w:w="30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Any risk rated HIGH or above involving Restricted-classified data requires Steering Committee visibility and a documented treatment decision. Residual risk cannot be informally accepted by the asset owner.</w:t>
            </w:r>
          </w:p>
        </w:tc>
        <w:tc>
          <w:tcPr>
            <w:tcW w:type="dxa" w:w="168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HIGH (≥12) or above</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Treatment plan mandatory within 90 days. Steering Committee visibility required. CISO must sign off residual risk position.</w:t>
            </w:r>
          </w:p>
        </w:tc>
      </w:tr>
      <w:tr>
        <w:trPr>
          <w:cantSplit/>
        </w:trPr>
        <w:tc>
          <w:tcPr>
            <w:tcW w:type="dxa" w:w="14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LOW</w:t>
            </w:r>
          </w:p>
        </w:tc>
        <w:tc>
          <w:tcPr>
            <w:tcW w:type="dxa" w:w="24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bCs/>
                <w:i w:val="false"/>
                <w:iCs w:val="false"/>
                <w:color w:val="000000"/>
                <w:sz w:val="24"/>
                <w:szCs w:val="24"/>
              </w:rPr>
              <w:t xml:space="preserve">Regulatory non-compliance — ISO 27001, DPDP Act, UAE PDPL</w:t>
            </w:r>
          </w:p>
        </w:tc>
        <w:tc>
          <w:tcPr>
            <w:tcW w:type="dxa" w:w="30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Regulatory obligations are not negotiable. Gaps may be documented and tracked, but none may be left without an active remediation plan. No regulatory gap may be accepted for longer than 12 months without Steering Committee approval.</w:t>
            </w:r>
          </w:p>
        </w:tc>
        <w:tc>
          <w:tcPr>
            <w:tcW w:type="dxa" w:w="168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ANY compliance gap above LOW</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Documented remediation plan required. Reviewed at each management review. Acceptance requires Steering Committee approval and a stated remediation date.</w:t>
            </w:r>
          </w:p>
        </w:tc>
      </w:tr>
      <w:tr>
        <w:trPr>
          <w:cantSplit/>
        </w:trPr>
        <w:tc>
          <w:tcPr>
            <w:tcW w:type="dxa" w:w="14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BF00"/>
                <w:sz w:val="24"/>
                <w:szCs w:val="24"/>
              </w:rPr>
              <w:t xml:space="preserve">MODERATE</w:t>
            </w:r>
          </w:p>
        </w:tc>
        <w:tc>
          <w:tcPr>
            <w:tcW w:type="dxa" w:w="24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left"/>
            </w:pPr>
            <w:r>
              <w:rPr>
                <w:rFonts w:ascii="Aptos" w:cs="Aptos" w:eastAsia="Aptos" w:hAnsi="Aptos"/>
                <w:b/>
                <w:bCs/>
                <w:i w:val="false"/>
                <w:iCs w:val="false"/>
                <w:color w:val="000000"/>
                <w:sz w:val="24"/>
                <w:szCs w:val="24"/>
              </w:rPr>
              <w:t xml:space="preserve">Operational risk with existing effective mitigating controls</w:t>
            </w:r>
          </w:p>
        </w:tc>
        <w:tc>
          <w:tcPr>
            <w:tcW w:type="dxa" w:w="30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Where a risk is operational in nature and effective controls already exist, residual risk within the MEDIUM band may be formally accepted. Acceptance must be documented, time-limited (12 months maximum) and signed by the risk owner.</w:t>
            </w:r>
          </w:p>
        </w:tc>
        <w:tc>
          <w:tcPr>
            <w:tcW w:type="dxa" w:w="168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MED-HIGH (8–11) or below, with documented controls</w:t>
            </w:r>
          </w:p>
        </w:tc>
        <w:tc>
          <w:tcPr>
            <w:tcW w:type="dxa" w:w="1600"/>
            <w:tcBorders>
              <w:top w:val="single" w:color="000000" w:sz="4"/>
              <w:left w:val="single" w:color="000000" w:sz="4"/>
              <w:bottom w:val="single" w:color="000000" w:sz="4"/>
              <w:right w:val="single" w:color="000000" w:sz="4"/>
            </w:tcBorders>
            <w:shd w:fill="FFF2CC"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Formal acceptance permitted if residual is MEDIUM or below, controls are evidenced, and the acceptance is time-limited. No verbal acceptance.</w:t>
            </w:r>
          </w:p>
        </w:tc>
      </w:tr>
      <w:tr>
        <w:trPr>
          <w:cantSplit/>
        </w:trPr>
        <w:tc>
          <w:tcPr>
            <w:tcW w:type="dxa" w:w="14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FF6600"/>
                <w:sz w:val="24"/>
                <w:szCs w:val="24"/>
              </w:rPr>
              <w:t xml:space="preserve">LOW</w:t>
            </w:r>
          </w:p>
        </w:tc>
        <w:tc>
          <w:tcPr>
            <w:tcW w:type="dxa" w:w="24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bCs/>
                <w:i w:val="false"/>
                <w:iCs w:val="false"/>
                <w:color w:val="000000"/>
                <w:sz w:val="24"/>
                <w:szCs w:val="24"/>
              </w:rPr>
              <w:t xml:space="preserve">Shared platform architecture — correlated failure risk</w:t>
            </w:r>
          </w:p>
        </w:tc>
        <w:tc>
          <w:tcPr>
            <w:tcW w:type="dxa" w:w="30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Risks affecting the shared identity layer, API gateway, data tier, backup or logging infrastructure are treated as LOW appetite regardless of their calculated rating, because their blast radius spans all products and all customers in the affected region.</w:t>
            </w:r>
          </w:p>
        </w:tc>
        <w:tc>
          <w:tcPr>
            <w:tcW w:type="dxa" w:w="168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center"/>
            </w:pPr>
            <w:r>
              <w:rPr>
                <w:rFonts w:ascii="Aptos" w:cs="Aptos" w:eastAsia="Aptos" w:hAnsi="Aptos"/>
                <w:b/>
                <w:bCs/>
                <w:i w:val="false"/>
                <w:iCs w:val="false"/>
                <w:color w:val="000000"/>
                <w:sz w:val="24"/>
                <w:szCs w:val="24"/>
              </w:rPr>
              <w:t xml:space="preserve">Any risk involving shared platform components rated MED-HIGH or above</w:t>
            </w:r>
          </w:p>
        </w:tc>
        <w:tc>
          <w:tcPr>
            <w:tcW w:type="dxa" w:w="1600"/>
            <w:tcBorders>
              <w:top w:val="single" w:color="000000" w:sz="4"/>
              <w:left w:val="single" w:color="000000" w:sz="4"/>
              <w:bottom w:val="single" w:color="000000" w:sz="4"/>
              <w:right w:val="single" w:color="000000" w:sz="4"/>
            </w:tcBorders>
            <w:shd w:fill="FCE4D6" w:color="auto" w:val="clear"/>
            <w:tcMar>
              <w:top w:type="dxa" w:w="80"/>
              <w:left w:type="dxa" w:w="120"/>
              <w:bottom w:type="dxa" w:w="80"/>
              <w:right w:type="dxa" w:w="120"/>
            </w:tcMar>
            <w:vAlign w:val="center"/>
          </w:tcPr>
          <w:p>
            <w:pPr>
              <w:jc w:val="left"/>
            </w:pPr>
            <w:r>
              <w:rPr>
                <w:rFonts w:ascii="Aptos" w:cs="Aptos" w:eastAsia="Aptos" w:hAnsi="Aptos"/>
                <w:b w:val="false"/>
                <w:bCs w:val="false"/>
                <w:i w:val="false"/>
                <w:iCs w:val="false"/>
                <w:color w:val="000000"/>
                <w:sz w:val="24"/>
                <w:szCs w:val="24"/>
              </w:rPr>
              <w:t xml:space="preserve">Treatment prioritised above equivalent-rated product-layer risks. Shared-platform risks are reported separately to the Steering Committee.</w:t>
            </w:r>
          </w:p>
        </w:tc>
      </w:tr>
    </w:tbl>
    <w:p>
      <w:pPr>
        <w:spacing w:after="140" w:before="80"/>
        <w:jc w:val="left"/>
      </w:pPr>
      <w:r>
        <w:rPr>
          <w:rFonts w:ascii="Aptos" w:cs="Aptos" w:eastAsia="Aptos" w:hAnsi="Aptos"/>
          <w:b w:val="false"/>
          <w:bCs w:val="false"/>
          <w:i w:val="false"/>
          <w:iCs w:val="false"/>
          <w:color w:val="000000"/>
          <w:sz w:val="24"/>
          <w:szCs w:val="24"/>
        </w:rPr>
        <w:t xml:space="preserve">One absolute rule cuts across all of the above: residual risk may only be formally accepted following documented management approval. Informal or verbal acceptance is not valid once the ISMS is operational — this rule applies from the date this document is effective.</w:t>
      </w:r>
    </w:p>
    <w:p>
      <w:pPr>
        <w:pStyle w:val="Heading1"/>
        <w:spacing w:after="120" w:before="280"/>
      </w:pPr>
      <w:r>
        <w:rPr>
          <w:rFonts w:ascii="Aptos" w:cs="Aptos" w:eastAsia="Aptos" w:hAnsi="Aptos"/>
          <w:b/>
          <w:bCs/>
          <w:i w:val="false"/>
          <w:iCs w:val="false"/>
          <w:color w:val="000000"/>
          <w:sz w:val="36"/>
          <w:szCs w:val="36"/>
        </w:rPr>
        <w:t xml:space="preserve">3. Risk Acceptance Criteria</w:t>
      </w:r>
    </w:p>
    <w:p>
      <w:pPr>
        <w:spacing w:after="140" w:before="0"/>
        <w:jc w:val="left"/>
      </w:pPr>
      <w:r>
        <w:rPr>
          <w:rFonts w:ascii="Aptos" w:cs="Aptos" w:eastAsia="Aptos" w:hAnsi="Aptos"/>
          <w:b w:val="false"/>
          <w:bCs w:val="false"/>
          <w:i w:val="false"/>
          <w:iCs w:val="false"/>
          <w:color w:val="000000"/>
          <w:sz w:val="24"/>
          <w:szCs w:val="24"/>
        </w:rPr>
        <w:t xml:space="preserve">A risk may be accepted (rather than treated) only when all of the following conditions are met simultaneously. Meeting some of them is not enough.</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400"/>
        <w:gridCol w:w="5680"/>
      </w:tblGrid>
      <w:tr>
        <w:trPr>
          <w:cantSplit/>
          <w:tblHeader/>
        </w:trPr>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Condition</w:t>
            </w:r>
          </w:p>
        </w:tc>
        <w:tc>
          <w:tcPr>
            <w:tcW w:type="dxa" w:w="5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must be true</w:t>
            </w:r>
          </w:p>
        </w:tc>
      </w:tr>
      <w:tr>
        <w:trPr>
          <w:cantSplit/>
        </w:trPr>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Residual rating is within appetite</w:t>
            </w:r>
          </w:p>
        </w:tc>
        <w:tc>
          <w:tcPr>
            <w:tcW w:type="dxa" w:w="5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residual risk score (post-control adjustment, per ISMS-PLN-001) maps to a rating at or below the appetite threshold for that risk category. A risk above appetite cannot be accepted — it requires treatment.</w:t>
            </w:r>
          </w:p>
        </w:tc>
      </w:tr>
      <w:tr>
        <w:trPr>
          <w:cantSplit/>
        </w:trPr>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Controls are evidenced as operating</w:t>
            </w:r>
          </w:p>
        </w:tc>
        <w:tc>
          <w:tcPr>
            <w:tcW w:type="dxa" w:w="5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controls cited in the residual risk calculation are confirmed as operating effectively — not just documented. Evidence must exist in ISMS-OPS-002 before acceptance is granted.</w:t>
            </w:r>
          </w:p>
        </w:tc>
      </w:tr>
      <w:tr>
        <w:trPr>
          <w:cantSplit/>
        </w:trPr>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Named risk owner has reviewed and signed</w:t>
            </w:r>
          </w:p>
        </w:tc>
        <w:tc>
          <w:tcPr>
            <w:tcW w:type="dxa" w:w="5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department head responsible for the asset signs the acceptance. An acceptance signed by the ISMS Manager or CISO on the owner's behalf is not valid unless the owner is unavailable and that unavailability is documented.</w:t>
            </w:r>
          </w:p>
        </w:tc>
      </w:tr>
      <w:tr>
        <w:trPr>
          <w:cantSplit/>
        </w:trPr>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Acceptance is time-limited</w:t>
            </w:r>
          </w:p>
        </w:tc>
        <w:tc>
          <w:tcPr>
            <w:tcW w:type="dxa" w:w="5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Maximum 12 months. The acceptance expires on the stated date unless actively renewed through the same process. An expired acceptance is equivalent to no acceptance — the risk is treated as unaccepted until renewed.</w:t>
            </w:r>
          </w:p>
        </w:tc>
      </w:tr>
      <w:tr>
        <w:trPr>
          <w:cantSplit/>
        </w:trPr>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has reviewed</w:t>
            </w:r>
          </w:p>
        </w:tc>
        <w:tc>
          <w:tcPr>
            <w:tcW w:type="dxa" w:w="5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CISO reviews all risk acceptances before they are filed. For risks at HIGH or above, the Steering Committee also reviews.</w:t>
            </w:r>
          </w:p>
        </w:tc>
      </w:tr>
      <w:tr>
        <w:trPr>
          <w:cantSplit/>
        </w:trPr>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Category is not excluded from acceptance</w:t>
            </w:r>
          </w:p>
        </w:tc>
        <w:tc>
          <w:tcPr>
            <w:tcW w:type="dxa" w:w="5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in the Very Low appetite category (intentional insider/external attack on production) may not be accepted under any circumstances. No exceptions.</w:t>
            </w:r>
          </w:p>
        </w:tc>
      </w:tr>
    </w:tbl>
    <w:p>
      <w:pPr>
        <w:pStyle w:val="Heading1"/>
        <w:spacing w:after="120" w:before="280"/>
      </w:pPr>
      <w:r>
        <w:rPr>
          <w:rFonts w:ascii="Aptos" w:cs="Aptos" w:eastAsia="Aptos" w:hAnsi="Aptos"/>
          <w:b/>
          <w:bCs/>
          <w:i w:val="false"/>
          <w:iCs w:val="false"/>
          <w:color w:val="000000"/>
          <w:sz w:val="36"/>
          <w:szCs w:val="36"/>
        </w:rPr>
        <w:t xml:space="preserve">4. Risk Evaluation Thresholds</w:t>
      </w:r>
    </w:p>
    <w:p>
      <w:pPr>
        <w:spacing w:after="140" w:before="0"/>
        <w:jc w:val="left"/>
      </w:pPr>
      <w:r>
        <w:rPr>
          <w:rFonts w:ascii="Aptos" w:cs="Aptos" w:eastAsia="Aptos" w:hAnsi="Aptos"/>
          <w:b w:val="false"/>
          <w:bCs w:val="false"/>
          <w:i w:val="false"/>
          <w:iCs w:val="false"/>
          <w:color w:val="000000"/>
          <w:sz w:val="24"/>
          <w:szCs w:val="24"/>
        </w:rPr>
        <w:t xml:space="preserve">These thresholds govern what happens to a risk based on its residual rating. They are the operational translation of the appetite statement in Section 2.</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2000"/>
        <w:gridCol w:w="2800"/>
        <w:gridCol w:w="36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Residual Rating</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Score Range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Treatment Required?</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Timeline and Authority</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20–25</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mandatory</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Immediate. No activity creating this risk may proceed without a treatment decision. CISO and Steering Committee notified same day.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12–19</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mandatory for Restricted data risks; mandatory for all others unless formally accepted with CISO sign-off</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within 90 days. Risk owner named. Reported to CISO monthly until treated or accepted.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8–11</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unless formally accepted per Section 3</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plan within 120 days. Risk owner named. Reported quarterly. Formal acceptance requires CISO sign-off.</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4–7</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recommended; formal acceptance permitted per Section 3</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Within current 12-month ISMS cycle. Acceptance requires risk owner sign-off. Reviewed quarterly.</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mandatory treatment</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 Reviewed at annual management review. Acceptance by risk owner is sufficient — no CISO sign-off required.</w:t>
            </w:r>
          </w:p>
        </w:tc>
      </w:tr>
    </w:tbl>
    <w:p>
      <w:pPr>
        <w:pStyle w:val="Heading1"/>
        <w:spacing w:after="120" w:before="280"/>
      </w:pPr>
      <w:r>
        <w:rPr>
          <w:rFonts w:ascii="Aptos" w:cs="Aptos" w:eastAsia="Aptos" w:hAnsi="Aptos"/>
          <w:b/>
          <w:bCs/>
          <w:i w:val="false"/>
          <w:iCs w:val="false"/>
          <w:color w:val="000000"/>
          <w:sz w:val="36"/>
          <w:szCs w:val="36"/>
        </w:rPr>
        <w:t xml:space="preserve">5. Risk Scoring Consistency Rules</w:t>
      </w:r>
    </w:p>
    <w:p>
      <w:pPr>
        <w:spacing w:after="140" w:before="0"/>
        <w:jc w:val="left"/>
      </w:pPr>
      <w:r>
        <w:rPr>
          <w:rFonts w:ascii="Aptos" w:cs="Aptos" w:eastAsia="Aptos" w:hAnsi="Aptos"/>
          <w:b w:val="false"/>
          <w:bCs w:val="false"/>
          <w:i w:val="false"/>
          <w:iCs w:val="false"/>
          <w:color w:val="000000"/>
          <w:sz w:val="24"/>
          <w:szCs w:val="24"/>
        </w:rPr>
        <w:t xml:space="preserve">These rules ensure that risks scored by different assessors, at different times, are comparable and honest.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Scores are based on the organisation's current environment — not theoretical best-case or worst-case scenarios. A risk is scored as if today were the assessment date.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Existing controls reduce the likelihood score only where they are confirmed as operating effectively with evidence. A control that is documented but not evidenced does not reduce any score.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impact score uses the highest of the C, I and A dimension scores for the risk — not an average. For shared platform risks, the combined impact across all affected assets is used.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Two assessors scoring the same risk independently should produce scores within one point on each dimension. If they differ by more than one point, the discrepancy must be resolved in a structured discussion before the score is finalised — not by averaging.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Near-miss incidents confirmed at MediSync — phishing payment (2024) and cloud misconfiguration (2024) — are scored at minimum POSSIBLE likelihood (3), regardless of whether the control that prevented them has since been strengthened. The near-miss is evidence that the threat is real.</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Likelihood scores are reviewed at each reassessment cycle. A risk that has been in treatment for 12 months with demonstrated control improvement may have its likelihood score reduced — but only with evidenced justification, not as a default.</w:t>
      </w:r>
    </w:p>
    <w:p>
      <w:pPr>
        <w:pStyle w:val="Heading1"/>
        <w:spacing w:after="120" w:before="280"/>
      </w:pPr>
      <w:r>
        <w:rPr>
          <w:rFonts w:ascii="Aptos" w:cs="Aptos" w:eastAsia="Aptos" w:hAnsi="Aptos"/>
          <w:b/>
          <w:bCs/>
          <w:i w:val="false"/>
          <w:iCs w:val="false"/>
          <w:color w:val="000000"/>
          <w:sz w:val="36"/>
          <w:szCs w:val="36"/>
        </w:rPr>
        <w:t xml:space="preserve">6. Appetite Review and Change Control</w:t>
      </w:r>
    </w:p>
    <w:p>
      <w:pPr>
        <w:spacing w:after="140" w:before="0"/>
        <w:jc w:val="left"/>
      </w:pPr>
      <w:r>
        <w:rPr>
          <w:rFonts w:ascii="Aptos" w:cs="Aptos" w:eastAsia="Aptos" w:hAnsi="Aptos"/>
          <w:b w:val="false"/>
          <w:bCs w:val="false"/>
          <w:i w:val="false"/>
          <w:iCs w:val="false"/>
          <w:color w:val="000000"/>
          <w:sz w:val="24"/>
          <w:szCs w:val="24"/>
        </w:rPr>
        <w:t xml:space="preserve">The appetite statement is reviewed annually at the management review (ISMS-PEV-008). It may also be reviewed out-of-cycle if any of the following occur:</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significant security incident changes the risk landscape materially.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 new regulation creates obligations that existing appetite categories do not cover.</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organisation enters a new market, adds a product, or changes its architecture in a way that creates new risk categories.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Board or executive team formally requests a review.</w:t>
      </w:r>
    </w:p>
    <w:p>
      <w:pPr>
        <w:spacing w:after="140" w:before="60"/>
        <w:jc w:val="left"/>
      </w:pPr>
      <w:r>
        <w:rPr>
          <w:rFonts w:ascii="Aptos" w:cs="Aptos" w:eastAsia="Aptos" w:hAnsi="Aptos"/>
          <w:b w:val="false"/>
          <w:bCs w:val="false"/>
          <w:i w:val="false"/>
          <w:iCs w:val="false"/>
          <w:color w:val="000000"/>
          <w:sz w:val="24"/>
          <w:szCs w:val="24"/>
        </w:rPr>
        <w:t xml:space="preserve">Any change to appetite thresholds requires a Steering Committee decision — not a unilateral CISO decision. If thresholds change, all risks currently accepted under the previous thresholds must be re-evaluated against the new ones. This means a more restrictive appetite may invalidate existing acceptances.</w:t>
      </w:r>
    </w:p>
    <w:p>
      <w:pPr>
        <w:pStyle w:val="Heading1"/>
        <w:spacing w:after="120" w:before="280"/>
      </w:pPr>
      <w:r>
        <w:rPr>
          <w:rFonts w:ascii="Aptos" w:cs="Aptos" w:eastAsia="Aptos" w:hAnsi="Aptos"/>
          <w:b/>
          <w:bCs/>
          <w:i w:val="false"/>
          <w:iCs w:val="false"/>
          <w:color w:val="000000"/>
          <w:sz w:val="36"/>
          <w:szCs w:val="36"/>
        </w:rPr>
        <w:t xml:space="preserve">7. Approval</w:t>
      </w:r>
    </w:p>
    <w:p>
      <w:pPr>
        <w:spacing w:after="140" w:before="0"/>
        <w:jc w:val="left"/>
      </w:pPr>
      <w:r>
        <w:rPr>
          <w:rFonts w:ascii="Aptos" w:cs="Aptos" w:eastAsia="Aptos" w:hAnsi="Aptos"/>
          <w:b w:val="false"/>
          <w:bCs w:val="false"/>
          <w:i w:val="false"/>
          <w:iCs w:val="false"/>
          <w:color w:val="000000"/>
          <w:sz w:val="24"/>
          <w:szCs w:val="24"/>
        </w:rPr>
        <w:t xml:space="preserve">By approving this document, the Steering Committee ratifies the appetite statement in Section 2 as the organisational risk appetite for information security. All risk treatment and acceptance decisions made from this date are evaluated against these criteria.</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 — prepared and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Financial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Commercial risk thresholds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appetite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ISMS-PLN-002  |  Risk Appetite &amp; Criteria Document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2026-08-24T11:23:49.995Z</dcterms:created>
  <dcterms:modified xsi:type="dcterms:W3CDTF">2026-08-24T11:23:50.009Z</dcterms:modified>
</cp:coreProperties>
</file>

<file path=docProps/custom.xml><?xml version="1.0" encoding="utf-8"?>
<Properties xmlns="http://schemas.openxmlformats.org/officeDocument/2006/custom-properties" xmlns:vt="http://schemas.openxmlformats.org/officeDocument/2006/docPropsVTypes"/>
</file>