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Aptos" w:cs="Aptos" w:eastAsia="Aptos" w:hAnsi="Aptos"/>
          <w:b/>
          <w:bCs/>
          <w:i w:val="false"/>
          <w:iCs w:val="false"/>
          <w:color w:val="000000"/>
          <w:sz w:val="32"/>
          <w:szCs w:val="32"/>
        </w:rPr>
        <w:t xml:space="preserve">MEDISYNC TECHNOLOGIES PVT. LTD.</w:t>
      </w:r>
    </w:p>
    <w:p>
      <w:pPr>
        <w:spacing w:after="200"/>
        <w:jc w:val="center"/>
      </w:pPr>
      <w:r>
        <w:rPr>
          <w:rFonts w:ascii="Aptos" w:cs="Aptos" w:eastAsia="Aptos" w:hAnsi="Aptos"/>
          <w:b w:val="false"/>
          <w:bCs w:val="false"/>
          <w:i/>
          <w:iCs/>
          <w:color w:val="000000"/>
          <w:sz w:val="24"/>
          <w:szCs w:val="24"/>
        </w:rPr>
        <w:t xml:space="preserve">Bengaluru  |  Pune  |  Hyderabad  |  Dubai</w:t>
      </w:r>
    </w:p>
    <w:p>
      <w:pPr>
        <w:spacing w:after="80" w:before="160"/>
        <w:jc w:val="center"/>
      </w:pPr>
      <w:r>
        <w:rPr>
          <w:rFonts w:ascii="Aptos" w:cs="Aptos" w:eastAsia="Aptos" w:hAnsi="Aptos"/>
          <w:b/>
          <w:bCs/>
          <w:i w:val="false"/>
          <w:iCs w:val="false"/>
          <w:color w:val="000000"/>
          <w:sz w:val="36"/>
          <w:szCs w:val="36"/>
        </w:rPr>
        <w:t xml:space="preserve">CHANGE MANAGEMENT PROCEDURE</w:t>
      </w:r>
    </w:p>
    <w:p>
      <w:pPr>
        <w:spacing w:after="280"/>
        <w:jc w:val="center"/>
      </w:pPr>
      <w:r>
        <w:rPr>
          <w:rFonts w:ascii="Aptos" w:cs="Aptos" w:eastAsia="Aptos" w:hAnsi="Aptos"/>
          <w:b w:val="false"/>
          <w:bCs w:val="false"/>
          <w:i/>
          <w:iCs/>
          <w:color w:val="000000"/>
          <w:sz w:val="28"/>
          <w:szCs w:val="28"/>
        </w:rPr>
        <w:t xml:space="preserve">Project HealthSec — ISO/IEC 27001:2022 ISMS Implementation</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3024"/>
        <w:gridCol w:w="7056"/>
      </w:tblGrid>
      <w:tr>
        <w:trPr>
          <w:cantSplit/>
          <w:tblHeader/>
        </w:trPr>
        <w:tc>
          <w:tcPr>
            <w:tcW w:type="dxa" w:w="3024"/>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Field</w:t>
            </w:r>
          </w:p>
        </w:tc>
        <w:tc>
          <w:tcPr>
            <w:tcW w:type="dxa" w:w="7056"/>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Detail</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Document Title</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Change Management Procedure</w:t>
            </w:r>
          </w:p>
        </w:tc>
      </w:tr>
      <w:tr>
        <w:trPr>
          <w:cantSplit/>
        </w:trPr>
        <w:tc>
          <w:tcPr>
            <w:tcW w:type="dxa" w:w="3024"/>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Document Reference Number</w:t>
            </w:r>
          </w:p>
        </w:tc>
        <w:tc>
          <w:tcPr>
            <w:tcW w:type="dxa" w:w="7056"/>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ISMS-PLN-009</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ISO/IEC 27001:2022 Clause</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Clause 6.3 — Planning of Changes; Annex A 8.32 — Change Management</w:t>
            </w:r>
          </w:p>
        </w:tc>
      </w:tr>
      <w:tr>
        <w:trPr>
          <w:cantSplit/>
        </w:trPr>
        <w:tc>
          <w:tcPr>
            <w:tcW w:type="dxa" w:w="3024"/>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Master List Entry</w:t>
            </w:r>
          </w:p>
        </w:tc>
        <w:tc>
          <w:tcPr>
            <w:tcW w:type="dxa" w:w="7056"/>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Phase 3 — Planning (Clause 6), Item 9 of 12</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Version</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1.0</w:t>
            </w:r>
          </w:p>
        </w:tc>
      </w:tr>
      <w:tr>
        <w:trPr>
          <w:cantSplit/>
        </w:trPr>
        <w:tc>
          <w:tcPr>
            <w:tcW w:type="dxa" w:w="3024"/>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Status</w:t>
            </w:r>
          </w:p>
        </w:tc>
        <w:tc>
          <w:tcPr>
            <w:tcW w:type="dxa" w:w="7056"/>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Approved — In Force</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Document Classification</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Confidential — Internal Use Only</w:t>
            </w:r>
          </w:p>
        </w:tc>
      </w:tr>
      <w:tr>
        <w:trPr>
          <w:cantSplit/>
        </w:trPr>
        <w:tc>
          <w:tcPr>
            <w:tcW w:type="dxa" w:w="3024"/>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Document Owner</w:t>
            </w:r>
          </w:p>
        </w:tc>
        <w:tc>
          <w:tcPr>
            <w:tcW w:type="dxa" w:w="7056"/>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Vikram Sundaram — Chief Information Security Officer</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Approved By</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 Steering Committee</w:t>
            </w:r>
          </w:p>
        </w:tc>
      </w:tr>
      <w:tr>
        <w:trPr>
          <w:cantSplit/>
        </w:trPr>
        <w:tc>
          <w:tcPr>
            <w:tcW w:type="dxa" w:w="3024"/>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Issue Date</w:t>
            </w:r>
          </w:p>
        </w:tc>
        <w:tc>
          <w:tcPr>
            <w:tcW w:type="dxa" w:w="7056"/>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30 April 2026</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Effective Date</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30 April 2026</w:t>
            </w:r>
          </w:p>
        </w:tc>
      </w:tr>
      <w:tr>
        <w:trPr>
          <w:cantSplit/>
        </w:trPr>
        <w:tc>
          <w:tcPr>
            <w:tcW w:type="dxa" w:w="3024"/>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Review Cycle</w:t>
            </w:r>
          </w:p>
        </w:tc>
        <w:tc>
          <w:tcPr>
            <w:tcW w:type="dxa" w:w="7056"/>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Annual. Reviewed earlier if a significant change reveals a gap in this procedure.</w:t>
            </w:r>
          </w:p>
        </w:tc>
      </w:tr>
    </w:tbl>
    <w:p>
      <w:pPr>
        <w:spacing w:after="200" w:before="140"/>
      </w:pPr>
      <w:r>
        <w:rPr>
          <w:rFonts w:ascii="Aptos" w:cs="Aptos" w:eastAsia="Aptos" w:hAnsi="Aptos"/>
          <w:b w:val="false"/>
          <w:bCs w:val="false"/>
          <w:i/>
          <w:iCs/>
          <w:color w:val="000000"/>
          <w:sz w:val="24"/>
          <w:szCs w:val="24"/>
        </w:rPr>
        <w:t xml:space="preserve">This procedure governs how changes to the MediSync ISMS — and to the systems, infrastructure and processes within its scope — are planned, assessed, approved, implemented and recorded. It applies from the effective date above.</w:t>
      </w:r>
    </w:p>
    <w:p>
      <w:pPr>
        <w:pStyle w:val="Heading1"/>
        <w:spacing w:after="120" w:before="300"/>
      </w:pPr>
      <w:r>
        <w:rPr>
          <w:rFonts w:ascii="Aptos" w:cs="Aptos" w:eastAsia="Aptos" w:hAnsi="Aptos"/>
          <w:b/>
          <w:bCs/>
          <w:i w:val="false"/>
          <w:iCs w:val="false"/>
          <w:color w:val="000000"/>
          <w:sz w:val="36"/>
          <w:szCs w:val="36"/>
        </w:rPr>
        <w:t xml:space="preserve">Document Control</w:t>
      </w:r>
    </w:p>
    <w:p>
      <w:pPr>
        <w:pStyle w:val="Heading2"/>
        <w:spacing w:after="100" w:before="200"/>
      </w:pPr>
      <w:r>
        <w:rPr>
          <w:rFonts w:ascii="Aptos" w:cs="Aptos" w:eastAsia="Aptos" w:hAnsi="Aptos"/>
          <w:b/>
          <w:bCs/>
          <w:i w:val="false"/>
          <w:iCs w:val="false"/>
          <w:color w:val="000000"/>
          <w:sz w:val="32"/>
          <w:szCs w:val="32"/>
        </w:rPr>
        <w:t xml:space="preserve">1. Version History</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900"/>
        <w:gridCol w:w="1300"/>
        <w:gridCol w:w="1700"/>
        <w:gridCol w:w="4600"/>
        <w:gridCol w:w="1580"/>
      </w:tblGrid>
      <w:tr>
        <w:trPr>
          <w:cantSplit/>
          <w:tblHeader/>
        </w:trPr>
        <w:tc>
          <w:tcPr>
            <w:tcW w:type="dxa" w:w="9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Ver.</w:t>
            </w:r>
          </w:p>
        </w:tc>
        <w:tc>
          <w:tcPr>
            <w:tcW w:type="dxa" w:w="13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Date</w:t>
            </w:r>
          </w:p>
        </w:tc>
        <w:tc>
          <w:tcPr>
            <w:tcW w:type="dxa" w:w="17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Author</w:t>
            </w:r>
          </w:p>
        </w:tc>
        <w:tc>
          <w:tcPr>
            <w:tcW w:type="dxa" w:w="46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Summary</w:t>
            </w:r>
          </w:p>
        </w:tc>
        <w:tc>
          <w:tcPr>
            <w:tcW w:type="dxa" w:w="15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Approved By</w:t>
            </w:r>
          </w:p>
        </w:tc>
      </w:tr>
      <w:tr>
        <w:trPr>
          <w:cantSplit/>
        </w:trPr>
        <w:tc>
          <w:tcPr>
            <w:tcW w:type="dxa" w:w="9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0.1</w:t>
            </w:r>
          </w:p>
        </w:tc>
        <w:tc>
          <w:tcPr>
            <w:tcW w:type="dxa" w:w="13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20 Apr 2026</w:t>
            </w:r>
          </w:p>
        </w:tc>
        <w:tc>
          <w:tcPr>
            <w:tcW w:type="dxa" w:w="17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Consulting Team</w:t>
            </w:r>
          </w:p>
        </w:tc>
        <w:tc>
          <w:tcPr>
            <w:tcW w:type="dxa" w:w="4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Initial draft — change categories, approval thresholds and exception process defined.</w:t>
            </w:r>
          </w:p>
        </w:tc>
        <w:tc>
          <w:tcPr>
            <w:tcW w:type="dxa" w:w="15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N/A</w:t>
            </w:r>
          </w:p>
        </w:tc>
      </w:tr>
      <w:tr>
        <w:trPr>
          <w:cantSplit/>
        </w:trPr>
        <w:tc>
          <w:tcPr>
            <w:tcW w:type="dxa" w:w="9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1.0</w:t>
            </w:r>
          </w:p>
        </w:tc>
        <w:tc>
          <w:tcPr>
            <w:tcW w:type="dxa" w:w="13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30 Apr 2026</w:t>
            </w:r>
          </w:p>
        </w:tc>
        <w:tc>
          <w:tcPr>
            <w:tcW w:type="dxa" w:w="17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Vikram Sundaram</w:t>
            </w:r>
          </w:p>
        </w:tc>
        <w:tc>
          <w:tcPr>
            <w:tcW w:type="dxa" w:w="46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Approved by Steering Committee. Procedure in force.</w:t>
            </w:r>
          </w:p>
        </w:tc>
        <w:tc>
          <w:tcPr>
            <w:tcW w:type="dxa" w:w="15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Steering Committee</w:t>
            </w:r>
          </w:p>
        </w:tc>
      </w:tr>
    </w:tbl>
    <w:p>
      <w:pPr>
        <w:pStyle w:val="Heading2"/>
        <w:spacing w:after="100" w:before="200"/>
      </w:pPr>
      <w:r>
        <w:rPr>
          <w:rFonts w:ascii="Aptos" w:cs="Aptos" w:eastAsia="Aptos" w:hAnsi="Aptos"/>
          <w:b/>
          <w:bCs/>
          <w:i w:val="false"/>
          <w:iCs w:val="false"/>
          <w:color w:val="000000"/>
          <w:sz w:val="32"/>
          <w:szCs w:val="32"/>
        </w:rPr>
        <w:t xml:space="preserve">2. Related Documents</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1900"/>
        <w:gridCol w:w="3000"/>
        <w:gridCol w:w="5180"/>
      </w:tblGrid>
      <w:tr>
        <w:trPr>
          <w:cantSplit/>
          <w:tblHeader/>
        </w:trPr>
        <w:tc>
          <w:tcPr>
            <w:tcW w:type="dxa" w:w="19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Reference</w:t>
            </w:r>
          </w:p>
        </w:tc>
        <w:tc>
          <w:tcPr>
            <w:tcW w:type="dxa" w:w="30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Document</w:t>
            </w:r>
          </w:p>
        </w:tc>
        <w:tc>
          <w:tcPr>
            <w:tcW w:type="dxa" w:w="51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Relationship</w:t>
            </w:r>
          </w:p>
        </w:tc>
      </w:tr>
      <w:tr>
        <w:trPr>
          <w:cantSplit/>
        </w:trPr>
        <w:tc>
          <w:tcPr>
            <w:tcW w:type="dxa" w:w="19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ISMS-INI-011</w:t>
            </w:r>
          </w:p>
        </w:tc>
        <w:tc>
          <w:tcPr>
            <w:tcW w:type="dxa" w:w="3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 Scope Document</w:t>
            </w:r>
          </w:p>
        </w:tc>
        <w:tc>
          <w:tcPr>
            <w:tcW w:type="dxa" w:w="51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Scope changes (adding products, locations, or cloud regions) trigger a mandatory scope review under this procedure.</w:t>
            </w:r>
          </w:p>
        </w:tc>
      </w:tr>
      <w:tr>
        <w:trPr>
          <w:cantSplit/>
        </w:trPr>
        <w:tc>
          <w:tcPr>
            <w:tcW w:type="dxa" w:w="19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ISMS-LDR-001</w:t>
            </w:r>
          </w:p>
        </w:tc>
        <w:tc>
          <w:tcPr>
            <w:tcW w:type="dxa" w:w="3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Information Security Policy</w:t>
            </w:r>
          </w:p>
        </w:tc>
        <w:tc>
          <w:tcPr>
            <w:tcW w:type="dxa" w:w="51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Policy exceptions process (LDR-001 Section 9) is separate from but consistent with this procedure.</w:t>
            </w:r>
          </w:p>
        </w:tc>
      </w:tr>
      <w:tr>
        <w:trPr>
          <w:cantSplit/>
        </w:trPr>
        <w:tc>
          <w:tcPr>
            <w:tcW w:type="dxa" w:w="19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ISMS-PLN-004</w:t>
            </w:r>
          </w:p>
        </w:tc>
        <w:tc>
          <w:tcPr>
            <w:tcW w:type="dxa" w:w="3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Risk Register</w:t>
            </w:r>
          </w:p>
        </w:tc>
        <w:tc>
          <w:tcPr>
            <w:tcW w:type="dxa" w:w="51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Material changes must be assessed against the risk register. New risks raised by the change are added.</w:t>
            </w:r>
          </w:p>
        </w:tc>
      </w:tr>
      <w:tr>
        <w:trPr>
          <w:cantSplit/>
        </w:trPr>
        <w:tc>
          <w:tcPr>
            <w:tcW w:type="dxa" w:w="19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ISMS-PLN-006</w:t>
            </w:r>
          </w:p>
        </w:tc>
        <w:tc>
          <w:tcPr>
            <w:tcW w:type="dxa" w:w="3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Statement of Applicability</w:t>
            </w:r>
          </w:p>
        </w:tc>
        <w:tc>
          <w:tcPr>
            <w:tcW w:type="dxa" w:w="51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 scope changes trigger an SoA review. New controls may become applicable.</w:t>
            </w:r>
          </w:p>
        </w:tc>
      </w:tr>
      <w:tr>
        <w:trPr>
          <w:cantSplit/>
        </w:trPr>
        <w:tc>
          <w:tcPr>
            <w:tcW w:type="dxa" w:w="19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ISMS-OPS-001</w:t>
            </w:r>
          </w:p>
        </w:tc>
        <w:tc>
          <w:tcPr>
            <w:tcW w:type="dxa" w:w="3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Operational Procedures</w:t>
            </w:r>
          </w:p>
        </w:tc>
        <w:tc>
          <w:tcPr>
            <w:tcW w:type="dxa" w:w="51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Technical change procedure for cloud configuration, infrastructure and application changes is governed by ISMS-OPS-001 and this document jointly.</w:t>
            </w:r>
          </w:p>
        </w:tc>
      </w:tr>
      <w:tr>
        <w:trPr>
          <w:cantSplit/>
        </w:trPr>
        <w:tc>
          <w:tcPr>
            <w:tcW w:type="dxa" w:w="19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ISMS-IMP-001</w:t>
            </w:r>
          </w:p>
        </w:tc>
        <w:tc>
          <w:tcPr>
            <w:tcW w:type="dxa" w:w="3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Nonconformity Register</w:t>
            </w:r>
          </w:p>
        </w:tc>
        <w:tc>
          <w:tcPr>
            <w:tcW w:type="dxa" w:w="51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Unauthorised or failed changes that constitute nonconformities are logged here.</w:t>
            </w:r>
          </w:p>
        </w:tc>
      </w:tr>
      <w:tr>
        <w:trPr>
          <w:cantSplit/>
        </w:trPr>
        <w:tc>
          <w:tcPr>
            <w:tcW w:type="dxa" w:w="19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ISMS-PEV-009</w:t>
            </w:r>
          </w:p>
        </w:tc>
        <w:tc>
          <w:tcPr>
            <w:tcW w:type="dxa" w:w="3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Management Review Input Record</w:t>
            </w:r>
          </w:p>
        </w:tc>
        <w:tc>
          <w:tcPr>
            <w:tcW w:type="dxa" w:w="51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Material changes to the ISMS are a standing agenda item at the management review (ISMS-LDR-006, A-02).</w:t>
            </w:r>
          </w:p>
        </w:tc>
      </w:tr>
    </w:tbl>
    <w:p>
      <w:pPr>
        <w:pStyle w:val="Heading1"/>
        <w:spacing w:after="120" w:before="200"/>
        <w:jc w:val="center"/>
      </w:pPr>
      <w:r>
        <w:rPr>
          <w:rFonts w:ascii="Aptos" w:cs="Aptos" w:eastAsia="Aptos" w:hAnsi="Aptos"/>
          <w:b/>
          <w:bCs/>
          <w:i w:val="false"/>
          <w:iCs w:val="false"/>
          <w:color w:val="000000"/>
          <w:sz w:val="36"/>
          <w:szCs w:val="36"/>
        </w:rPr>
        <w:t xml:space="preserve">Table of Contents</w:t>
      </w:r>
    </w:p>
    <w:p>
      <w:pPr>
        <w:spacing w:after="140"/>
        <w:jc w:val="center"/>
      </w:pPr>
      <w:r>
        <w:rPr>
          <w:rFonts w:ascii="Aptos" w:cs="Aptos" w:eastAsia="Aptos" w:hAnsi="Aptos"/>
          <w:b w:val="false"/>
          <w:bCs w:val="false"/>
          <w:i/>
          <w:iCs/>
          <w:color w:val="000000"/>
          <w:sz w:val="22"/>
          <w:szCs w:val="22"/>
        </w:rPr>
        <w:t xml:space="preserve">(Right-click → 'Update Field' or press F9 in Microsoft Word.)</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20" w:before="300"/>
      </w:pPr>
      <w:r>
        <w:rPr>
          <w:rFonts w:ascii="Aptos" w:cs="Aptos" w:eastAsia="Aptos" w:hAnsi="Aptos"/>
          <w:b/>
          <w:bCs/>
          <w:i w:val="false"/>
          <w:iCs w:val="false"/>
          <w:color w:val="000000"/>
          <w:sz w:val="36"/>
          <w:szCs w:val="36"/>
        </w:rPr>
        <w:t xml:space="preserve">1. Purpose</w:t>
      </w:r>
    </w:p>
    <w:p>
      <w:pPr>
        <w:spacing w:after="140" w:before="0"/>
        <w:jc w:val="left"/>
      </w:pPr>
      <w:r>
        <w:rPr>
          <w:rFonts w:ascii="Aptos" w:cs="Aptos" w:eastAsia="Aptos" w:hAnsi="Aptos"/>
          <w:b w:val="false"/>
          <w:bCs w:val="false"/>
          <w:i w:val="false"/>
          <w:iCs w:val="false"/>
          <w:color w:val="000000"/>
          <w:sz w:val="24"/>
          <w:szCs w:val="24"/>
        </w:rPr>
        <w:t xml:space="preserve">Change is the most common source of unintended security degradation. The 2024 cloud misconfiguration near-miss at MediSync happened because a storage bucket access policy was changed without a security review. This procedure ensures that any change — to systems, infrastructure, processes, or the ISMS itself — is assessed for security implications before it is implemented.</w:t>
      </w:r>
    </w:p>
    <w:p>
      <w:pPr>
        <w:spacing w:after="140" w:before="0"/>
        <w:jc w:val="left"/>
      </w:pPr>
      <w:r>
        <w:rPr>
          <w:rFonts w:ascii="Aptos" w:cs="Aptos" w:eastAsia="Aptos" w:hAnsi="Aptos"/>
          <w:b w:val="false"/>
          <w:bCs w:val="false"/>
          <w:i w:val="false"/>
          <w:iCs w:val="false"/>
          <w:color w:val="000000"/>
          <w:sz w:val="24"/>
          <w:szCs w:val="24"/>
        </w:rPr>
        <w:t xml:space="preserve">ISO/IEC 27001:2022 Clause 6.3 requires that when MediSync determines the need for changes to the ISMS, those changes are carried out in a planned manner. Annex A control 8.32 requires that changes to information processing facilities and systems are subject to change management procedures. This document satisfies both.</w:t>
      </w:r>
    </w:p>
    <w:p>
      <w:pPr>
        <w:pStyle w:val="Heading1"/>
        <w:spacing w:after="120" w:before="300"/>
      </w:pPr>
      <w:r>
        <w:rPr>
          <w:rFonts w:ascii="Aptos" w:cs="Aptos" w:eastAsia="Aptos" w:hAnsi="Aptos"/>
          <w:b/>
          <w:bCs/>
          <w:i w:val="false"/>
          <w:iCs w:val="false"/>
          <w:color w:val="000000"/>
          <w:sz w:val="36"/>
          <w:szCs w:val="36"/>
        </w:rPr>
        <w:t xml:space="preserve">2. Scope</w:t>
      </w:r>
    </w:p>
    <w:p>
      <w:pPr>
        <w:spacing w:after="140" w:before="0"/>
        <w:jc w:val="left"/>
      </w:pPr>
      <w:r>
        <w:rPr>
          <w:rFonts w:ascii="Aptos" w:cs="Aptos" w:eastAsia="Aptos" w:hAnsi="Aptos"/>
          <w:b w:val="false"/>
          <w:bCs w:val="false"/>
          <w:i w:val="false"/>
          <w:iCs w:val="false"/>
          <w:color w:val="000000"/>
          <w:sz w:val="24"/>
          <w:szCs w:val="24"/>
        </w:rPr>
        <w:t xml:space="preserve">This procedure applies to three categories of change:</w:t>
      </w:r>
    </w:p>
    <w:p>
      <w:pPr>
        <w:pStyle w:val="ListParagraph"/>
        <w:numPr>
          <w:ilvl w:val="0"/>
          <w:numId w:val="1"/>
        </w:numPr>
        <w:spacing w:after="80"/>
      </w:pPr>
      <w:r>
        <w:rPr>
          <w:rFonts w:ascii="Aptos" w:cs="Aptos" w:eastAsia="Aptos" w:hAnsi="Aptos"/>
          <w:b w:val="false"/>
          <w:bCs w:val="false"/>
          <w:i w:val="false"/>
          <w:iCs w:val="false"/>
          <w:color w:val="000000"/>
          <w:sz w:val="24"/>
          <w:szCs w:val="24"/>
        </w:rPr>
        <w:t xml:space="preserve">ISMS changes — changes to any controlled ISMS document (policies, procedures, the risk register, the SoA, the scope document), to the governance structure, or to the ISMS programme schedule.</w:t>
      </w:r>
    </w:p>
    <w:p>
      <w:pPr>
        <w:pStyle w:val="ListParagraph"/>
        <w:numPr>
          <w:ilvl w:val="0"/>
          <w:numId w:val="1"/>
        </w:numPr>
        <w:spacing w:after="80"/>
      </w:pPr>
      <w:r>
        <w:rPr>
          <w:rFonts w:ascii="Aptos" w:cs="Aptos" w:eastAsia="Aptos" w:hAnsi="Aptos"/>
          <w:b w:val="false"/>
          <w:bCs w:val="false"/>
          <w:i w:val="false"/>
          <w:iCs w:val="false"/>
          <w:color w:val="000000"/>
          <w:sz w:val="24"/>
          <w:szCs w:val="24"/>
        </w:rPr>
        <w:t xml:space="preserve">Technical changes — changes to cloud infrastructure, network configuration, security tools, application architecture, or any system within the ISMS scope defined in ISMS-INI-011.</w:t>
      </w:r>
    </w:p>
    <w:p>
      <w:pPr>
        <w:pStyle w:val="ListParagraph"/>
        <w:numPr>
          <w:ilvl w:val="0"/>
          <w:numId w:val="1"/>
        </w:numPr>
        <w:spacing w:after="80"/>
      </w:pPr>
      <w:r>
        <w:rPr>
          <w:rFonts w:ascii="Aptos" w:cs="Aptos" w:eastAsia="Aptos" w:hAnsi="Aptos"/>
          <w:b w:val="false"/>
          <w:bCs w:val="false"/>
          <w:i w:val="false"/>
          <w:iCs w:val="false"/>
          <w:color w:val="000000"/>
          <w:sz w:val="24"/>
          <w:szCs w:val="24"/>
        </w:rPr>
        <w:t xml:space="preserve">Organisational changes — changes to the organisational structure, key roles, or processes that affect how ISMS controls operate (e.g., department restructuring, key person departures, new regulatory obligations).</w:t>
      </w:r>
    </w:p>
    <w:p>
      <w:pPr>
        <w:spacing w:after="140" w:before="60"/>
        <w:jc w:val="left"/>
      </w:pPr>
      <w:r>
        <w:rPr>
          <w:rFonts w:ascii="Aptos" w:cs="Aptos" w:eastAsia="Aptos" w:hAnsi="Aptos"/>
          <w:b w:val="false"/>
          <w:bCs w:val="false"/>
          <w:i w:val="false"/>
          <w:iCs w:val="false"/>
          <w:color w:val="000000"/>
          <w:sz w:val="24"/>
          <w:szCs w:val="24"/>
        </w:rPr>
        <w:t xml:space="preserve">Routine operational activities that follow documented procedures — such as deploying a pre-approved software release through the CI/CD pipeline, applying a scheduled patch, or executing a planned access review — are not changes for the purposes of this procedure. They are normal operations governed by ISMS-OPS-001.</w:t>
      </w:r>
    </w:p>
    <w:p>
      <w:pPr>
        <w:pStyle w:val="Heading1"/>
        <w:spacing w:after="120" w:before="300"/>
      </w:pPr>
      <w:r>
        <w:rPr>
          <w:rFonts w:ascii="Aptos" w:cs="Aptos" w:eastAsia="Aptos" w:hAnsi="Aptos"/>
          <w:b/>
          <w:bCs/>
          <w:i w:val="false"/>
          <w:iCs w:val="false"/>
          <w:color w:val="000000"/>
          <w:sz w:val="36"/>
          <w:szCs w:val="36"/>
        </w:rPr>
        <w:t xml:space="preserve">3. Change Categories and Approval Thresholds</w:t>
      </w:r>
    </w:p>
    <w:p>
      <w:pPr>
        <w:spacing w:after="140" w:before="0"/>
        <w:jc w:val="left"/>
      </w:pPr>
      <w:r>
        <w:rPr>
          <w:rFonts w:ascii="Aptos" w:cs="Aptos" w:eastAsia="Aptos" w:hAnsi="Aptos"/>
          <w:b w:val="false"/>
          <w:bCs w:val="false"/>
          <w:i w:val="false"/>
          <w:iCs w:val="false"/>
          <w:color w:val="000000"/>
          <w:sz w:val="24"/>
          <w:szCs w:val="24"/>
        </w:rPr>
        <w:t xml:space="preserve">Every change is categorised before it is approved. The category determines the approval authority and the minimum security assessment required. No change may be implemented without the approval of the appropriate authority.</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1600"/>
        <w:gridCol w:w="3200"/>
        <w:gridCol w:w="2000"/>
        <w:gridCol w:w="1600"/>
        <w:gridCol w:w="1680"/>
      </w:tblGrid>
      <w:tr>
        <w:trPr>
          <w:cantSplit/>
          <w:tblHeader/>
        </w:trPr>
        <w:tc>
          <w:tcPr>
            <w:tcW w:type="dxa" w:w="16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Category</w:t>
            </w:r>
          </w:p>
        </w:tc>
        <w:tc>
          <w:tcPr>
            <w:tcW w:type="dxa" w:w="32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Description</w:t>
            </w:r>
          </w:p>
        </w:tc>
        <w:tc>
          <w:tcPr>
            <w:tcW w:type="dxa" w:w="20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Approval Authority</w:t>
            </w:r>
          </w:p>
        </w:tc>
        <w:tc>
          <w:tcPr>
            <w:tcW w:type="dxa" w:w="16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Security Assessment Required</w:t>
            </w:r>
          </w:p>
        </w:tc>
        <w:tc>
          <w:tcPr>
            <w:tcW w:type="dxa" w:w="16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Examples</w:t>
            </w:r>
          </w:p>
        </w:tc>
      </w:tr>
      <w:tr>
        <w:trPr>
          <w:cantSplit/>
        </w:trPr>
        <w:tc>
          <w:tcPr>
            <w:tcW w:type="dxa" w:w="1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Standard</w:t>
            </w:r>
          </w:p>
        </w:tc>
        <w:tc>
          <w:tcPr>
            <w:tcW w:type="dxa" w:w="3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Pre-approved, low-risk change type that has been through the change process before. Follows a documented standard change template.</w:t>
            </w:r>
          </w:p>
        </w:tc>
        <w:tc>
          <w:tcPr>
            <w:tcW w:type="dxa" w:w="2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Change implementer (no separate approval needed)</w:t>
            </w:r>
          </w:p>
        </w:tc>
        <w:tc>
          <w:tcPr>
            <w:tcW w:type="dxa" w:w="1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None — risk was assessed when the standard change type was approved</w:t>
            </w:r>
          </w:p>
        </w:tc>
        <w:tc>
          <w:tcPr>
            <w:tcW w:type="dxa" w:w="16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Scheduled OS patch from approved vendor, quarterly access review execution, SSL certificate renewal</w:t>
            </w:r>
          </w:p>
        </w:tc>
      </w:tr>
      <w:tr>
        <w:trPr>
          <w:cantSplit/>
        </w:trPr>
        <w:tc>
          <w:tcPr>
            <w:tcW w:type="dxa" w:w="16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Normal</w:t>
            </w:r>
          </w:p>
        </w:tc>
        <w:tc>
          <w:tcPr>
            <w:tcW w:type="dxa" w:w="3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Any change that is not Standard or Emergency. Must go through full review and approval before implementation.</w:t>
            </w:r>
          </w:p>
        </w:tc>
        <w:tc>
          <w:tcPr>
            <w:tcW w:type="dxa" w:w="2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CISO for changes affecting security controls; CTO for engineering changes; COO for process changes</w:t>
            </w:r>
          </w:p>
        </w:tc>
        <w:tc>
          <w:tcPr>
            <w:tcW w:type="dxa" w:w="16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Security impact assessment (Section 4) required</w:t>
            </w:r>
          </w:p>
        </w:tc>
        <w:tc>
          <w:tcPr>
            <w:tcW w:type="dxa" w:w="16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New cloud service adoption, firewall rule change, new vendor onboarding, architecture modification, new product feature affecting authentication or data access</w:t>
            </w:r>
          </w:p>
        </w:tc>
      </w:tr>
      <w:tr>
        <w:trPr>
          <w:cantSplit/>
        </w:trPr>
        <w:tc>
          <w:tcPr>
            <w:tcW w:type="dxa" w:w="1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Major</w:t>
            </w:r>
          </w:p>
        </w:tc>
        <w:tc>
          <w:tcPr>
            <w:tcW w:type="dxa" w:w="3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Normal change with broad scope or significant security implication — affecting multiple systems, the ISMS scope, or introducing a new risk category.</w:t>
            </w:r>
          </w:p>
        </w:tc>
        <w:tc>
          <w:tcPr>
            <w:tcW w:type="dxa" w:w="2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 Steering Committee</w:t>
            </w:r>
          </w:p>
        </w:tc>
        <w:tc>
          <w:tcPr>
            <w:tcW w:type="dxa" w:w="1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Full security impact assessment; risk register review; SoA review if scope is affected</w:t>
            </w:r>
          </w:p>
        </w:tc>
        <w:tc>
          <w:tcPr>
            <w:tcW w:type="dxa" w:w="16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New cloud region or data centre, new product launch, material change to the shared platform layer, change to the ISMS scope (ISMS-INI-011)</w:t>
            </w:r>
          </w:p>
        </w:tc>
      </w:tr>
      <w:tr>
        <w:trPr>
          <w:cantSplit/>
        </w:trPr>
        <w:tc>
          <w:tcPr>
            <w:tcW w:type="dxa" w:w="16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Emergency</w:t>
            </w:r>
          </w:p>
        </w:tc>
        <w:tc>
          <w:tcPr>
            <w:tcW w:type="dxa" w:w="3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Change required urgently to restore service or prevent an imminent security incident. Must be implemented before normal approval can be completed.</w:t>
            </w:r>
          </w:p>
        </w:tc>
        <w:tc>
          <w:tcPr>
            <w:tcW w:type="dxa" w:w="2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CISO (operational); CEO if CISO unavailable. Retrospective Steering Committee review within 5 business days</w:t>
            </w:r>
          </w:p>
        </w:tc>
        <w:tc>
          <w:tcPr>
            <w:tcW w:type="dxa" w:w="16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Immediate risk judgement by CISO. Full assessment completed retrospectively within 5 business days</w:t>
            </w:r>
          </w:p>
        </w:tc>
        <w:tc>
          <w:tcPr>
            <w:tcW w:type="dxa" w:w="16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Critical security patch for a zero-day vulnerability in production; emergency firewall rule to block an active attack; emergency access revocation</w:t>
            </w:r>
          </w:p>
        </w:tc>
      </w:tr>
    </w:tbl>
    <w:p>
      <w:pPr>
        <w:pStyle w:val="Heading1"/>
        <w:spacing w:after="120" w:before="300"/>
      </w:pPr>
      <w:r>
        <w:rPr>
          <w:rFonts w:ascii="Aptos" w:cs="Aptos" w:eastAsia="Aptos" w:hAnsi="Aptos"/>
          <w:b/>
          <w:bCs/>
          <w:i w:val="false"/>
          <w:iCs w:val="false"/>
          <w:color w:val="000000"/>
          <w:sz w:val="36"/>
          <w:szCs w:val="36"/>
        </w:rPr>
        <w:t xml:space="preserve">4. Security Impact Assessment</w:t>
      </w:r>
    </w:p>
    <w:p>
      <w:pPr>
        <w:spacing w:after="140" w:before="0"/>
        <w:jc w:val="left"/>
      </w:pPr>
      <w:r>
        <w:rPr>
          <w:rFonts w:ascii="Aptos" w:cs="Aptos" w:eastAsia="Aptos" w:hAnsi="Aptos"/>
          <w:b w:val="false"/>
          <w:bCs w:val="false"/>
          <w:i w:val="false"/>
          <w:iCs w:val="false"/>
          <w:color w:val="000000"/>
          <w:sz w:val="24"/>
          <w:szCs w:val="24"/>
        </w:rPr>
        <w:t xml:space="preserve">A security impact assessment is required for every Normal and Major change, and retrospectively for every Emergency change. The assessment is produced by the change requester and reviewed by the CISO (or CISO delegate) before approval.</w:t>
      </w:r>
    </w:p>
    <w:p>
      <w:pPr>
        <w:pStyle w:val="Heading2"/>
        <w:spacing w:after="100" w:before="200"/>
      </w:pPr>
      <w:r>
        <w:rPr>
          <w:rFonts w:ascii="Aptos" w:cs="Aptos" w:eastAsia="Aptos" w:hAnsi="Aptos"/>
          <w:b/>
          <w:bCs/>
          <w:i w:val="false"/>
          <w:iCs w:val="false"/>
          <w:color w:val="000000"/>
          <w:sz w:val="32"/>
          <w:szCs w:val="32"/>
        </w:rPr>
        <w:t xml:space="preserve">4.1 Assessment questions</w:t>
      </w:r>
    </w:p>
    <w:p>
      <w:pPr>
        <w:spacing w:after="140" w:before="0"/>
        <w:jc w:val="left"/>
      </w:pPr>
      <w:r>
        <w:rPr>
          <w:rFonts w:ascii="Aptos" w:cs="Aptos" w:eastAsia="Aptos" w:hAnsi="Aptos"/>
          <w:b w:val="false"/>
          <w:bCs w:val="false"/>
          <w:i w:val="false"/>
          <w:iCs w:val="false"/>
          <w:color w:val="000000"/>
          <w:sz w:val="24"/>
          <w:szCs w:val="24"/>
        </w:rPr>
        <w:t xml:space="preserve">The security impact assessment must answer the following questions. Where the answer to any question is Yes or Unknown, the change requires explicit CISO review before approval.</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600"/>
        <w:gridCol w:w="5480"/>
        <w:gridCol w:w="4000"/>
      </w:tblGrid>
      <w:tr>
        <w:trPr>
          <w:cantSplit/>
          <w:tblHeader/>
        </w:trPr>
        <w:tc>
          <w:tcPr>
            <w:tcW w:type="dxa" w:w="6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Ref</w:t>
            </w:r>
          </w:p>
        </w:tc>
        <w:tc>
          <w:tcPr>
            <w:tcW w:type="dxa" w:w="54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Question</w:t>
            </w:r>
          </w:p>
        </w:tc>
        <w:tc>
          <w:tcPr>
            <w:tcW w:type="dxa" w:w="40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Guidance</w:t>
            </w:r>
          </w:p>
        </w:tc>
      </w:tr>
      <w:tr>
        <w:trPr>
          <w:cantSplit/>
        </w:trPr>
        <w:tc>
          <w:tcPr>
            <w:tcW w:type="dxa" w:w="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SIA-01</w:t>
            </w:r>
          </w:p>
        </w:tc>
        <w:tc>
          <w:tcPr>
            <w:tcW w:type="dxa" w:w="54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Does the change affect any asset classified as Restricted?</w:t>
            </w:r>
          </w:p>
        </w:tc>
        <w:tc>
          <w:tcPr>
            <w:tcW w:type="dxa" w:w="4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Any change that could affect the confidentiality, integrity or availability of patient health records, physician credentials, insurance claim data or encryption keys is Restricted-data relevant. Treat conservatively — if unsure, assume yes.</w:t>
            </w:r>
          </w:p>
        </w:tc>
      </w:tr>
      <w:tr>
        <w:trPr>
          <w:cantSplit/>
        </w:trPr>
        <w:tc>
          <w:tcPr>
            <w:tcW w:type="dxa" w:w="6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SIA-02</w:t>
            </w:r>
          </w:p>
        </w:tc>
        <w:tc>
          <w:tcPr>
            <w:tcW w:type="dxa" w:w="54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Does the change affect any shared platform layer component (SH-PLAT-001 to SH-PLAT-015)?</w:t>
            </w:r>
          </w:p>
        </w:tc>
        <w:tc>
          <w:tcPr>
            <w:tcW w:type="dxa" w:w="4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Shared platform changes have a blast radius across all products and all customers in the affected region. A change that seems minor at the component level may have wide impact. Flag explicitly.</w:t>
            </w:r>
          </w:p>
        </w:tc>
      </w:tr>
      <w:tr>
        <w:trPr>
          <w:cantSplit/>
        </w:trPr>
        <w:tc>
          <w:tcPr>
            <w:tcW w:type="dxa" w:w="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SIA-03</w:t>
            </w:r>
          </w:p>
        </w:tc>
        <w:tc>
          <w:tcPr>
            <w:tcW w:type="dxa" w:w="54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Does the change introduce a new third-party service, library, or sub-processor?</w:t>
            </w:r>
          </w:p>
        </w:tc>
        <w:tc>
          <w:tcPr>
            <w:tcW w:type="dxa" w:w="4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New third parties must be tiered and assessed (ISMS-OPS-003) before they access MediSync systems or data. A new open-source library introduced into the CI/CD pipeline is also a supply-chain change.</w:t>
            </w:r>
          </w:p>
        </w:tc>
      </w:tr>
      <w:tr>
        <w:trPr>
          <w:cantSplit/>
        </w:trPr>
        <w:tc>
          <w:tcPr>
            <w:tcW w:type="dxa" w:w="6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SIA-04</w:t>
            </w:r>
          </w:p>
        </w:tc>
        <w:tc>
          <w:tcPr>
            <w:tcW w:type="dxa" w:w="54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Does the change affect MFA, access control, encryption, or network segmentation?</w:t>
            </w:r>
          </w:p>
        </w:tc>
        <w:tc>
          <w:tcPr>
            <w:tcW w:type="dxa" w:w="4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These four controls are the core of MediSync's security posture. Any weakening — even temporary — requires explicit CISO approval and a defined timeline for restoration.</w:t>
            </w:r>
          </w:p>
        </w:tc>
      </w:tr>
      <w:tr>
        <w:trPr>
          <w:cantSplit/>
        </w:trPr>
        <w:tc>
          <w:tcPr>
            <w:tcW w:type="dxa" w:w="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SIA-05</w:t>
            </w:r>
          </w:p>
        </w:tc>
        <w:tc>
          <w:tcPr>
            <w:tcW w:type="dxa" w:w="54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Does the change affect data residency — could India data reach the UAE region or vice versa?</w:t>
            </w:r>
          </w:p>
        </w:tc>
        <w:tc>
          <w:tcPr>
            <w:tcW w:type="dxa" w:w="4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Cross-border data transfer restrictions under DPDP Act and UAE PDPL apply. Any change that could affect data residency requires Legal review (Omar Al Mansoori) before implementation.</w:t>
            </w:r>
          </w:p>
        </w:tc>
      </w:tr>
      <w:tr>
        <w:trPr>
          <w:cantSplit/>
        </w:trPr>
        <w:tc>
          <w:tcPr>
            <w:tcW w:type="dxa" w:w="6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SIA-06</w:t>
            </w:r>
          </w:p>
        </w:tc>
        <w:tc>
          <w:tcPr>
            <w:tcW w:type="dxa" w:w="54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Does the change create a new risk or materially change an existing risk in ISMS-PLN-004?</w:t>
            </w:r>
          </w:p>
        </w:tc>
        <w:tc>
          <w:tcPr>
            <w:tcW w:type="dxa" w:w="4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If yes, the risk register must be updated as part of the change process — not after the fact. The change cannot be approved until the new or updated risk has a named owner and a treatment decision.</w:t>
            </w:r>
          </w:p>
        </w:tc>
      </w:tr>
      <w:tr>
        <w:trPr>
          <w:cantSplit/>
        </w:trPr>
        <w:tc>
          <w:tcPr>
            <w:tcW w:type="dxa" w:w="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SIA-07</w:t>
            </w:r>
          </w:p>
        </w:tc>
        <w:tc>
          <w:tcPr>
            <w:tcW w:type="dxa" w:w="54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Does the change require a regulatory notification or update a regulatory compliance position?</w:t>
            </w:r>
          </w:p>
        </w:tc>
        <w:tc>
          <w:tcPr>
            <w:tcW w:type="dxa" w:w="4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Changes that alter how MediSync meets its DPDP Act, UAE PDPL, CERT-In or MoHFW obligations require review by Head of Legal before implementation. ISMS-INI-010 must be updated.</w:t>
            </w:r>
          </w:p>
        </w:tc>
      </w:tr>
    </w:tbl>
    <w:p>
      <w:pPr>
        <w:pStyle w:val="Heading2"/>
        <w:spacing w:after="100" w:before="200"/>
      </w:pPr>
      <w:r>
        <w:rPr>
          <w:rFonts w:ascii="Aptos" w:cs="Aptos" w:eastAsia="Aptos" w:hAnsi="Aptos"/>
          <w:b/>
          <w:bCs/>
          <w:i w:val="false"/>
          <w:iCs w:val="false"/>
          <w:color w:val="000000"/>
          <w:sz w:val="32"/>
          <w:szCs w:val="32"/>
        </w:rPr>
        <w:t xml:space="preserve">4.2 Assessment record</w:t>
      </w:r>
    </w:p>
    <w:p>
      <w:pPr>
        <w:spacing w:after="140" w:before="0"/>
        <w:jc w:val="left"/>
      </w:pPr>
      <w:r>
        <w:rPr>
          <w:rFonts w:ascii="Aptos" w:cs="Aptos" w:eastAsia="Aptos" w:hAnsi="Aptos"/>
          <w:b w:val="false"/>
          <w:bCs w:val="false"/>
          <w:i w:val="false"/>
          <w:iCs w:val="false"/>
          <w:color w:val="000000"/>
          <w:sz w:val="24"/>
          <w:szCs w:val="24"/>
        </w:rPr>
        <w:t xml:space="preserve">The security impact assessment is recorded in the Change Log (Section 7). The record must include: the change description, the SIA question responses, the assessor's name, the date, and the resulting change category. For Major and Emergency changes, the record is retained in the ISMS GRC Repository as a controlled document for the life of the ISMS.</w:t>
      </w:r>
    </w:p>
    <w:p>
      <w:pPr>
        <w:pStyle w:val="Heading1"/>
        <w:spacing w:after="120" w:before="300"/>
      </w:pPr>
      <w:r>
        <w:rPr>
          <w:rFonts w:ascii="Aptos" w:cs="Aptos" w:eastAsia="Aptos" w:hAnsi="Aptos"/>
          <w:b/>
          <w:bCs/>
          <w:i w:val="false"/>
          <w:iCs w:val="false"/>
          <w:color w:val="000000"/>
          <w:sz w:val="36"/>
          <w:szCs w:val="36"/>
        </w:rPr>
        <w:t xml:space="preserve">5. Change Procedure</w:t>
      </w:r>
    </w:p>
    <w:p>
      <w:pPr>
        <w:pStyle w:val="Heading2"/>
        <w:spacing w:after="100" w:before="200"/>
      </w:pPr>
      <w:r>
        <w:rPr>
          <w:rFonts w:ascii="Aptos" w:cs="Aptos" w:eastAsia="Aptos" w:hAnsi="Aptos"/>
          <w:b/>
          <w:bCs/>
          <w:i w:val="false"/>
          <w:iCs w:val="false"/>
          <w:color w:val="000000"/>
          <w:sz w:val="32"/>
          <w:szCs w:val="32"/>
        </w:rPr>
        <w:t xml:space="preserve">5.1 Standard changes</w:t>
      </w:r>
    </w:p>
    <w:p>
      <w:pPr>
        <w:spacing w:after="140" w:before="0"/>
        <w:jc w:val="left"/>
      </w:pPr>
      <w:r>
        <w:rPr>
          <w:rFonts w:ascii="Aptos" w:cs="Aptos" w:eastAsia="Aptos" w:hAnsi="Aptos"/>
          <w:b w:val="false"/>
          <w:bCs w:val="false"/>
          <w:i w:val="false"/>
          <w:iCs w:val="false"/>
          <w:color w:val="000000"/>
          <w:sz w:val="24"/>
          <w:szCs w:val="24"/>
        </w:rPr>
        <w:t xml:space="preserve">Standard changes follow a pre-approved template and do not require a separate change request. The implementer documents the change in the Change Log (Section 7) after implementation, noting the standard change template used and the date. If anything unexpected occurs during implementation, the change is escalated immediately to the CISO.</w:t>
      </w:r>
    </w:p>
    <w:p>
      <w:pPr>
        <w:pStyle w:val="Heading2"/>
        <w:spacing w:after="100" w:before="200"/>
      </w:pPr>
      <w:r>
        <w:rPr>
          <w:rFonts w:ascii="Aptos" w:cs="Aptos" w:eastAsia="Aptos" w:hAnsi="Aptos"/>
          <w:b/>
          <w:bCs/>
          <w:i w:val="false"/>
          <w:iCs w:val="false"/>
          <w:color w:val="000000"/>
          <w:sz w:val="32"/>
          <w:szCs w:val="32"/>
        </w:rPr>
        <w:t xml:space="preserve">5.2 Normal and major changes</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3000"/>
        <w:gridCol w:w="7080"/>
      </w:tblGrid>
      <w:tr>
        <w:trPr>
          <w:cantSplit/>
          <w:tblHeader/>
        </w:trPr>
        <w:tc>
          <w:tcPr>
            <w:tcW w:type="dxa" w:w="30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Step</w:t>
            </w:r>
          </w:p>
        </w:tc>
        <w:tc>
          <w:tcPr>
            <w:tcW w:type="dxa" w:w="70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Detail</w:t>
            </w:r>
          </w:p>
        </w:tc>
      </w:tr>
      <w:tr>
        <w:trPr>
          <w:cantSplit/>
        </w:trPr>
        <w:tc>
          <w:tcPr>
            <w:tcW w:type="dxa" w:w="3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 Raise a change request</w:t>
            </w:r>
          </w:p>
        </w:tc>
        <w:tc>
          <w:tcPr>
            <w:tcW w:type="dxa" w:w="70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The change requester completes the change request form (template in Appendix A). The form captures: what is changing, why, what systems are affected, who will implement it, and the proposed implementation date.</w:t>
            </w:r>
          </w:p>
        </w:tc>
      </w:tr>
      <w:tr>
        <w:trPr>
          <w:cantSplit/>
        </w:trPr>
        <w:tc>
          <w:tcPr>
            <w:tcW w:type="dxa" w:w="3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2. Complete the security impact assessment</w:t>
            </w:r>
          </w:p>
        </w:tc>
        <w:tc>
          <w:tcPr>
            <w:tcW w:type="dxa" w:w="70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The requester answers SIA-01 to SIA-07 (Section 4). If any answer is Yes or Unknown, the requester flags this explicitly in the form. The completed form is sent to the CISO.</w:t>
            </w:r>
          </w:p>
        </w:tc>
      </w:tr>
      <w:tr>
        <w:trPr>
          <w:cantSplit/>
        </w:trPr>
        <w:tc>
          <w:tcPr>
            <w:tcW w:type="dxa" w:w="3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3. CISO review</w:t>
            </w:r>
          </w:p>
        </w:tc>
        <w:tc>
          <w:tcPr>
            <w:tcW w:type="dxa" w:w="70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The CISO (or delegate) reviews the security impact assessment within 3 business days for Normal changes; 5 business days for Major changes. The CISO may: approve, reject, or request modifications before approval. For Major changes, the CISO prepares a recommendation for the Steering Committee.</w:t>
            </w:r>
          </w:p>
        </w:tc>
      </w:tr>
      <w:tr>
        <w:trPr>
          <w:cantSplit/>
        </w:trPr>
        <w:tc>
          <w:tcPr>
            <w:tcW w:type="dxa" w:w="3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4. Approval</w:t>
            </w:r>
          </w:p>
        </w:tc>
        <w:tc>
          <w:tcPr>
            <w:tcW w:type="dxa" w:w="70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Normal changes: CISO (or CTO/COO for non-security changes) approves in writing. Major changes: ISMS Steering Committee approves at the next available meeting — or out-of-cycle if urgency requires. Approval is recorded in the Change Log.</w:t>
            </w:r>
          </w:p>
        </w:tc>
      </w:tr>
      <w:tr>
        <w:trPr>
          <w:cantSplit/>
        </w:trPr>
        <w:tc>
          <w:tcPr>
            <w:tcW w:type="dxa" w:w="3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5. Implementation</w:t>
            </w:r>
          </w:p>
        </w:tc>
        <w:tc>
          <w:tcPr>
            <w:tcW w:type="dxa" w:w="70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The change is implemented per the approved request. Any deviation from the approved scope must be reported to the CISO immediately. The change is not complete until evidence of implementation has been recorded.</w:t>
            </w:r>
          </w:p>
        </w:tc>
      </w:tr>
      <w:tr>
        <w:trPr>
          <w:cantSplit/>
        </w:trPr>
        <w:tc>
          <w:tcPr>
            <w:tcW w:type="dxa" w:w="3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6. Post-implementation review</w:t>
            </w:r>
          </w:p>
        </w:tc>
        <w:tc>
          <w:tcPr>
            <w:tcW w:type="dxa" w:w="70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Within 5 business days of implementation: confirm the change was implemented as planned; confirm no unexpected security impact occurred; update the risk register if a new or changed risk was identified; update ISMS-INI-011 if scope was affected; update ISMS-INI-010 if a regulatory compliance position changed.</w:t>
            </w:r>
          </w:p>
        </w:tc>
      </w:tr>
    </w:tbl>
    <w:p>
      <w:pPr>
        <w:pStyle w:val="Heading2"/>
        <w:spacing w:after="100" w:before="200"/>
      </w:pPr>
      <w:r>
        <w:rPr>
          <w:rFonts w:ascii="Aptos" w:cs="Aptos" w:eastAsia="Aptos" w:hAnsi="Aptos"/>
          <w:b/>
          <w:bCs/>
          <w:i w:val="false"/>
          <w:iCs w:val="false"/>
          <w:color w:val="000000"/>
          <w:sz w:val="32"/>
          <w:szCs w:val="32"/>
        </w:rPr>
        <w:t xml:space="preserve">5.3 Emergency changes</w:t>
      </w:r>
    </w:p>
    <w:p>
      <w:pPr>
        <w:spacing w:after="140" w:before="0"/>
        <w:jc w:val="left"/>
      </w:pPr>
      <w:r>
        <w:rPr>
          <w:rFonts w:ascii="Aptos" w:cs="Aptos" w:eastAsia="Aptos" w:hAnsi="Aptos"/>
          <w:b w:val="false"/>
          <w:bCs w:val="false"/>
          <w:i w:val="false"/>
          <w:iCs w:val="false"/>
          <w:color w:val="000000"/>
          <w:sz w:val="24"/>
          <w:szCs w:val="24"/>
        </w:rPr>
        <w:t xml:space="preserve">For emergency changes, the normal sequence is compressed but not eliminated. The CISO approves immediately using a risk judgement. The full change record — including a completed SIA — must be produced retrospectively within 5 business days. The ISMS Steering Committee reviews all emergency changes at the next quarterly meeting. An emergency change that is not retrospectively documented within 5 business days is treated as an unauthorised change and logged as a nonconformity in ISMS-IMP-001.</w:t>
      </w:r>
    </w:p>
    <w:p>
      <w:pPr>
        <w:pStyle w:val="Heading1"/>
        <w:spacing w:after="120" w:before="300"/>
      </w:pPr>
      <w:r>
        <w:rPr>
          <w:rFonts w:ascii="Aptos" w:cs="Aptos" w:eastAsia="Aptos" w:hAnsi="Aptos"/>
          <w:b/>
          <w:bCs/>
          <w:i w:val="false"/>
          <w:iCs w:val="false"/>
          <w:color w:val="000000"/>
          <w:sz w:val="36"/>
          <w:szCs w:val="36"/>
        </w:rPr>
        <w:t xml:space="preserve">6. ISMS Document Changes</w:t>
      </w:r>
    </w:p>
    <w:p>
      <w:pPr>
        <w:spacing w:after="140" w:before="0"/>
        <w:jc w:val="left"/>
      </w:pPr>
      <w:r>
        <w:rPr>
          <w:rFonts w:ascii="Aptos" w:cs="Aptos" w:eastAsia="Aptos" w:hAnsi="Aptos"/>
          <w:b w:val="false"/>
          <w:bCs w:val="false"/>
          <w:i w:val="false"/>
          <w:iCs w:val="false"/>
          <w:color w:val="000000"/>
          <w:sz w:val="24"/>
          <w:szCs w:val="24"/>
        </w:rPr>
        <w:t xml:space="preserve">Changes to controlled ISMS documents follow this procedure in addition to the document control process defined in ISMS-INI-002 Section 7. The change category depends on the significance of the document being changed:</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3200"/>
        <w:gridCol w:w="3600"/>
        <w:gridCol w:w="3280"/>
      </w:tblGrid>
      <w:tr>
        <w:trPr>
          <w:cantSplit/>
          <w:tblHeader/>
        </w:trPr>
        <w:tc>
          <w:tcPr>
            <w:tcW w:type="dxa" w:w="32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Document type</w:t>
            </w:r>
          </w:p>
        </w:tc>
        <w:tc>
          <w:tcPr>
            <w:tcW w:type="dxa" w:w="36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Change category</w:t>
            </w:r>
          </w:p>
        </w:tc>
        <w:tc>
          <w:tcPr>
            <w:tcW w:type="dxa" w:w="32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Approval authority</w:t>
            </w:r>
          </w:p>
        </w:tc>
      </w:tr>
      <w:tr>
        <w:trPr>
          <w:cantSplit/>
        </w:trPr>
        <w:tc>
          <w:tcPr>
            <w:tcW w:type="dxa" w:w="3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Information Security Policy (ISMS-LDR-001)</w:t>
            </w:r>
          </w:p>
        </w:tc>
        <w:tc>
          <w:tcPr>
            <w:tcW w:type="dxa" w:w="3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Major</w:t>
            </w:r>
          </w:p>
        </w:tc>
        <w:tc>
          <w:tcPr>
            <w:tcW w:type="dxa" w:w="32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CEO (policy owner); Steering Committee for material changes</w:t>
            </w:r>
          </w:p>
        </w:tc>
      </w:tr>
      <w:tr>
        <w:trPr>
          <w:cantSplit/>
        </w:trPr>
        <w:tc>
          <w:tcPr>
            <w:tcW w:type="dxa" w:w="3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 Scope Document (ISMS-INI-011)</w:t>
            </w:r>
          </w:p>
        </w:tc>
        <w:tc>
          <w:tcPr>
            <w:tcW w:type="dxa" w:w="36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Major</w:t>
            </w:r>
          </w:p>
        </w:tc>
        <w:tc>
          <w:tcPr>
            <w:tcW w:type="dxa" w:w="32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Steering Committee; CEO for new country of operation</w:t>
            </w:r>
          </w:p>
        </w:tc>
      </w:tr>
      <w:tr>
        <w:trPr>
          <w:cantSplit/>
        </w:trPr>
        <w:tc>
          <w:tcPr>
            <w:tcW w:type="dxa" w:w="3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Risk Register (ISMS-PLN-004) — new or rescored risk</w:t>
            </w:r>
          </w:p>
        </w:tc>
        <w:tc>
          <w:tcPr>
            <w:tcW w:type="dxa" w:w="3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Normal</w:t>
            </w:r>
          </w:p>
        </w:tc>
        <w:tc>
          <w:tcPr>
            <w:tcW w:type="dxa" w:w="32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CISO</w:t>
            </w:r>
          </w:p>
        </w:tc>
      </w:tr>
      <w:tr>
        <w:trPr>
          <w:cantSplit/>
        </w:trPr>
        <w:tc>
          <w:tcPr>
            <w:tcW w:type="dxa" w:w="3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Statement of Applicability (ISMS-PLN-006)</w:t>
            </w:r>
          </w:p>
        </w:tc>
        <w:tc>
          <w:tcPr>
            <w:tcW w:type="dxa" w:w="36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Major (if scope change); Normal (if implementation status update only)</w:t>
            </w:r>
          </w:p>
        </w:tc>
        <w:tc>
          <w:tcPr>
            <w:tcW w:type="dxa" w:w="32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Steering Committee (scope change); CISO (status update)</w:t>
            </w:r>
          </w:p>
        </w:tc>
      </w:tr>
      <w:tr>
        <w:trPr>
          <w:cantSplit/>
        </w:trPr>
        <w:tc>
          <w:tcPr>
            <w:tcW w:type="dxa" w:w="3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Operational procedures (ISMS-OPS series)</w:t>
            </w:r>
          </w:p>
        </w:tc>
        <w:tc>
          <w:tcPr>
            <w:tcW w:type="dxa" w:w="3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Normal</w:t>
            </w:r>
          </w:p>
        </w:tc>
        <w:tc>
          <w:tcPr>
            <w:tcW w:type="dxa" w:w="32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CISO; relevant control owner co-signs</w:t>
            </w:r>
          </w:p>
        </w:tc>
      </w:tr>
      <w:tr>
        <w:trPr>
          <w:cantSplit/>
        </w:trPr>
        <w:tc>
          <w:tcPr>
            <w:tcW w:type="dxa" w:w="3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Supporting documents (registers, logs, records)</w:t>
            </w:r>
          </w:p>
        </w:tc>
        <w:tc>
          <w:tcPr>
            <w:tcW w:type="dxa" w:w="36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Standard</w:t>
            </w:r>
          </w:p>
        </w:tc>
        <w:tc>
          <w:tcPr>
            <w:tcW w:type="dxa" w:w="32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Document owner</w:t>
            </w:r>
          </w:p>
        </w:tc>
      </w:tr>
      <w:tr>
        <w:trPr>
          <w:cantSplit/>
        </w:trPr>
        <w:tc>
          <w:tcPr>
            <w:tcW w:type="dxa" w:w="3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Minor corrections (wording, formatting, typos)</w:t>
            </w:r>
          </w:p>
        </w:tc>
        <w:tc>
          <w:tcPr>
            <w:tcW w:type="dxa" w:w="3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Standard</w:t>
            </w:r>
          </w:p>
        </w:tc>
        <w:tc>
          <w:tcPr>
            <w:tcW w:type="dxa" w:w="32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 Manager</w:t>
            </w:r>
          </w:p>
        </w:tc>
      </w:tr>
    </w:tbl>
    <w:p>
      <w:pPr>
        <w:spacing w:after="140" w:before="60"/>
        <w:jc w:val="left"/>
      </w:pPr>
      <w:r>
        <w:rPr>
          <w:rFonts w:ascii="Aptos" w:cs="Aptos" w:eastAsia="Aptos" w:hAnsi="Aptos"/>
          <w:b w:val="false"/>
          <w:bCs w:val="false"/>
          <w:i w:val="false"/>
          <w:iCs w:val="false"/>
          <w:color w:val="000000"/>
          <w:sz w:val="24"/>
          <w:szCs w:val="24"/>
        </w:rPr>
        <w:t xml:space="preserve">Every controlled document change — however small — must result in a version increment and a version history entry. A document that is changed without a version increment is a document control failure.</w:t>
      </w:r>
    </w:p>
    <w:p>
      <w:pPr>
        <w:pStyle w:val="Heading1"/>
        <w:spacing w:after="120" w:before="300"/>
      </w:pPr>
      <w:r>
        <w:rPr>
          <w:rFonts w:ascii="Aptos" w:cs="Aptos" w:eastAsia="Aptos" w:hAnsi="Aptos"/>
          <w:b/>
          <w:bCs/>
          <w:i w:val="false"/>
          <w:iCs w:val="false"/>
          <w:color w:val="000000"/>
          <w:sz w:val="36"/>
          <w:szCs w:val="36"/>
        </w:rPr>
        <w:t xml:space="preserve">7. Change Log</w:t>
      </w:r>
    </w:p>
    <w:p>
      <w:pPr>
        <w:spacing w:after="140" w:before="0"/>
        <w:jc w:val="left"/>
      </w:pPr>
      <w:r>
        <w:rPr>
          <w:rFonts w:ascii="Aptos" w:cs="Aptos" w:eastAsia="Aptos" w:hAnsi="Aptos"/>
          <w:b w:val="false"/>
          <w:bCs w:val="false"/>
          <w:i w:val="false"/>
          <w:iCs w:val="false"/>
          <w:color w:val="000000"/>
          <w:sz w:val="24"/>
          <w:szCs w:val="24"/>
        </w:rPr>
        <w:t xml:space="preserve">All changes are logged in the MediSync ISMS Change Log, maintained by the ISMS Manager in the GRC Repository. The log is a controlled document reviewed at each quarterly Steering Committee meeting and at each management review cycle.</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1600"/>
        <w:gridCol w:w="8480"/>
      </w:tblGrid>
      <w:tr>
        <w:trPr>
          <w:cantSplit/>
          <w:tblHeader/>
        </w:trPr>
        <w:tc>
          <w:tcPr>
            <w:tcW w:type="dxa" w:w="16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Field</w:t>
            </w:r>
          </w:p>
        </w:tc>
        <w:tc>
          <w:tcPr>
            <w:tcW w:type="dxa" w:w="84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Description</w:t>
            </w:r>
          </w:p>
        </w:tc>
      </w:tr>
      <w:tr>
        <w:trPr>
          <w:cantSplit/>
        </w:trPr>
        <w:tc>
          <w:tcPr>
            <w:tcW w:type="dxa" w:w="1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Change ID</w:t>
            </w:r>
          </w:p>
        </w:tc>
        <w:tc>
          <w:tcPr>
            <w:tcW w:type="dxa" w:w="84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Sequential identifier (CHG-001, CHG-002, …)</w:t>
            </w:r>
          </w:p>
        </w:tc>
      </w:tr>
      <w:tr>
        <w:trPr>
          <w:cantSplit/>
        </w:trPr>
        <w:tc>
          <w:tcPr>
            <w:tcW w:type="dxa" w:w="16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Date raised</w:t>
            </w:r>
          </w:p>
        </w:tc>
        <w:tc>
          <w:tcPr>
            <w:tcW w:type="dxa" w:w="84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When the change was first requested</w:t>
            </w:r>
          </w:p>
        </w:tc>
      </w:tr>
      <w:tr>
        <w:trPr>
          <w:cantSplit/>
        </w:trPr>
        <w:tc>
          <w:tcPr>
            <w:tcW w:type="dxa" w:w="1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Change type</w:t>
            </w:r>
          </w:p>
        </w:tc>
        <w:tc>
          <w:tcPr>
            <w:tcW w:type="dxa" w:w="84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Standard / Normal / Major / Emergency</w:t>
            </w:r>
          </w:p>
        </w:tc>
      </w:tr>
      <w:tr>
        <w:trPr>
          <w:cantSplit/>
        </w:trPr>
        <w:tc>
          <w:tcPr>
            <w:tcW w:type="dxa" w:w="16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Category</w:t>
            </w:r>
          </w:p>
        </w:tc>
        <w:tc>
          <w:tcPr>
            <w:tcW w:type="dxa" w:w="84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 change / Technical change / Organisational change</w:t>
            </w:r>
          </w:p>
        </w:tc>
      </w:tr>
      <w:tr>
        <w:trPr>
          <w:cantSplit/>
        </w:trPr>
        <w:tc>
          <w:tcPr>
            <w:tcW w:type="dxa" w:w="1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Description</w:t>
            </w:r>
          </w:p>
        </w:tc>
        <w:tc>
          <w:tcPr>
            <w:tcW w:type="dxa" w:w="84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What is changing and why</w:t>
            </w:r>
          </w:p>
        </w:tc>
      </w:tr>
      <w:tr>
        <w:trPr>
          <w:cantSplit/>
        </w:trPr>
        <w:tc>
          <w:tcPr>
            <w:tcW w:type="dxa" w:w="16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Systems affected</w:t>
            </w:r>
          </w:p>
        </w:tc>
        <w:tc>
          <w:tcPr>
            <w:tcW w:type="dxa" w:w="84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List of in-scope assets (from ISMS-PLN-003) affected by the change</w:t>
            </w:r>
          </w:p>
        </w:tc>
      </w:tr>
      <w:tr>
        <w:trPr>
          <w:cantSplit/>
        </w:trPr>
        <w:tc>
          <w:tcPr>
            <w:tcW w:type="dxa" w:w="1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SIA responses</w:t>
            </w:r>
          </w:p>
        </w:tc>
        <w:tc>
          <w:tcPr>
            <w:tcW w:type="dxa" w:w="84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Summary of SIA-01 to SIA-07 answers — or "Standard — pre-approved template [template ref]"</w:t>
            </w:r>
          </w:p>
        </w:tc>
      </w:tr>
      <w:tr>
        <w:trPr>
          <w:cantSplit/>
        </w:trPr>
        <w:tc>
          <w:tcPr>
            <w:tcW w:type="dxa" w:w="16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Approver</w:t>
            </w:r>
          </w:p>
        </w:tc>
        <w:tc>
          <w:tcPr>
            <w:tcW w:type="dxa" w:w="84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Named individual who approved; date of approval</w:t>
            </w:r>
          </w:p>
        </w:tc>
      </w:tr>
      <w:tr>
        <w:trPr>
          <w:cantSplit/>
        </w:trPr>
        <w:tc>
          <w:tcPr>
            <w:tcW w:type="dxa" w:w="1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Implementation date</w:t>
            </w:r>
          </w:p>
        </w:tc>
        <w:tc>
          <w:tcPr>
            <w:tcW w:type="dxa" w:w="84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When the change was implemented</w:t>
            </w:r>
          </w:p>
        </w:tc>
      </w:tr>
      <w:tr>
        <w:trPr>
          <w:cantSplit/>
        </w:trPr>
        <w:tc>
          <w:tcPr>
            <w:tcW w:type="dxa" w:w="16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Post-implementation review date</w:t>
            </w:r>
          </w:p>
        </w:tc>
        <w:tc>
          <w:tcPr>
            <w:tcW w:type="dxa" w:w="84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When the post-implementation review was completed</w:t>
            </w:r>
          </w:p>
        </w:tc>
      </w:tr>
      <w:tr>
        <w:trPr>
          <w:cantSplit/>
        </w:trPr>
        <w:tc>
          <w:tcPr>
            <w:tcW w:type="dxa" w:w="1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Outcome</w:t>
            </w:r>
          </w:p>
        </w:tc>
        <w:tc>
          <w:tcPr>
            <w:tcW w:type="dxa" w:w="84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Implemented as planned / Deviated (describe) / Reverted / Pending review</w:t>
            </w:r>
          </w:p>
        </w:tc>
      </w:tr>
      <w:tr>
        <w:trPr>
          <w:cantSplit/>
        </w:trPr>
        <w:tc>
          <w:tcPr>
            <w:tcW w:type="dxa" w:w="16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Risk register update</w:t>
            </w:r>
          </w:p>
        </w:tc>
        <w:tc>
          <w:tcPr>
            <w:tcW w:type="dxa" w:w="84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Yes / No — if Yes, reference the risk entry (R-XXX)</w:t>
            </w:r>
          </w:p>
        </w:tc>
      </w:tr>
      <w:tr>
        <w:trPr>
          <w:cantSplit/>
        </w:trPr>
        <w:tc>
          <w:tcPr>
            <w:tcW w:type="dxa" w:w="1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 document update</w:t>
            </w:r>
          </w:p>
        </w:tc>
        <w:tc>
          <w:tcPr>
            <w:tcW w:type="dxa" w:w="84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Yes / No — if Yes, reference the document and new version number</w:t>
            </w:r>
          </w:p>
        </w:tc>
      </w:tr>
    </w:tbl>
    <w:p>
      <w:pPr>
        <w:pStyle w:val="Heading1"/>
        <w:spacing w:after="120" w:before="300"/>
      </w:pPr>
      <w:r>
        <w:rPr>
          <w:rFonts w:ascii="Aptos" w:cs="Aptos" w:eastAsia="Aptos" w:hAnsi="Aptos"/>
          <w:b/>
          <w:bCs/>
          <w:i w:val="false"/>
          <w:iCs w:val="false"/>
          <w:color w:val="000000"/>
          <w:sz w:val="36"/>
          <w:szCs w:val="36"/>
        </w:rPr>
        <w:t xml:space="preserve">8. Prohibited Changes</w:t>
      </w:r>
    </w:p>
    <w:p>
      <w:pPr>
        <w:spacing w:after="140" w:before="0"/>
        <w:jc w:val="left"/>
      </w:pPr>
      <w:r>
        <w:rPr>
          <w:rFonts w:ascii="Aptos" w:cs="Aptos" w:eastAsia="Aptos" w:hAnsi="Aptos"/>
          <w:b w:val="false"/>
          <w:bCs w:val="false"/>
          <w:i w:val="false"/>
          <w:iCs w:val="false"/>
          <w:color w:val="000000"/>
          <w:sz w:val="24"/>
          <w:szCs w:val="24"/>
        </w:rPr>
        <w:t xml:space="preserve">The following changes require Steering Committee approval and cannot be approved by the CISO alone, regardless of urgency:</w:t>
      </w:r>
    </w:p>
    <w:p>
      <w:pPr>
        <w:pStyle w:val="ListParagraph"/>
        <w:numPr>
          <w:ilvl w:val="0"/>
          <w:numId w:val="1"/>
        </w:numPr>
        <w:spacing w:after="80"/>
      </w:pPr>
      <w:r>
        <w:rPr>
          <w:rFonts w:ascii="Aptos" w:cs="Aptos" w:eastAsia="Aptos" w:hAnsi="Aptos"/>
          <w:b w:val="false"/>
          <w:bCs w:val="false"/>
          <w:i w:val="false"/>
          <w:iCs w:val="false"/>
          <w:color w:val="000000"/>
          <w:sz w:val="24"/>
          <w:szCs w:val="24"/>
        </w:rPr>
        <w:t xml:space="preserve">Any change that removes or materially weakens MFA enforcement across any user population.</w:t>
      </w:r>
    </w:p>
    <w:p>
      <w:pPr>
        <w:pStyle w:val="ListParagraph"/>
        <w:numPr>
          <w:ilvl w:val="0"/>
          <w:numId w:val="1"/>
        </w:numPr>
        <w:spacing w:after="80"/>
      </w:pPr>
      <w:r>
        <w:rPr>
          <w:rFonts w:ascii="Aptos" w:cs="Aptos" w:eastAsia="Aptos" w:hAnsi="Aptos"/>
          <w:b w:val="false"/>
          <w:bCs w:val="false"/>
          <w:i w:val="false"/>
          <w:iCs w:val="false"/>
          <w:color w:val="000000"/>
          <w:sz w:val="24"/>
          <w:szCs w:val="24"/>
        </w:rPr>
        <w:t xml:space="preserve">Any change that relaxes network segmentation between the public tier and the data tier.</w:t>
      </w:r>
    </w:p>
    <w:p>
      <w:pPr>
        <w:pStyle w:val="ListParagraph"/>
        <w:numPr>
          <w:ilvl w:val="0"/>
          <w:numId w:val="1"/>
        </w:numPr>
        <w:spacing w:after="80"/>
      </w:pPr>
      <w:r>
        <w:rPr>
          <w:rFonts w:ascii="Aptos" w:cs="Aptos" w:eastAsia="Aptos" w:hAnsi="Aptos"/>
          <w:b w:val="false"/>
          <w:bCs w:val="false"/>
          <w:i w:val="false"/>
          <w:iCs w:val="false"/>
          <w:color w:val="000000"/>
          <w:sz w:val="24"/>
          <w:szCs w:val="24"/>
        </w:rPr>
        <w:t xml:space="preserve">Any change that enables cross-border transfer of patient data between the India and UAE regions without Legal review.</w:t>
      </w:r>
    </w:p>
    <w:p>
      <w:pPr>
        <w:pStyle w:val="ListParagraph"/>
        <w:numPr>
          <w:ilvl w:val="0"/>
          <w:numId w:val="1"/>
        </w:numPr>
        <w:spacing w:after="80"/>
      </w:pPr>
      <w:r>
        <w:rPr>
          <w:rFonts w:ascii="Aptos" w:cs="Aptos" w:eastAsia="Aptos" w:hAnsi="Aptos"/>
          <w:b w:val="false"/>
          <w:bCs w:val="false"/>
          <w:i w:val="false"/>
          <w:iCs w:val="false"/>
          <w:color w:val="000000"/>
          <w:sz w:val="24"/>
          <w:szCs w:val="24"/>
        </w:rPr>
        <w:t xml:space="preserve">Any change to the ISMS scope that adds or removes a product, location, or cloud region.</w:t>
      </w:r>
    </w:p>
    <w:p>
      <w:pPr>
        <w:pStyle w:val="ListParagraph"/>
        <w:numPr>
          <w:ilvl w:val="0"/>
          <w:numId w:val="1"/>
        </w:numPr>
        <w:spacing w:after="80"/>
      </w:pPr>
      <w:r>
        <w:rPr>
          <w:rFonts w:ascii="Aptos" w:cs="Aptos" w:eastAsia="Aptos" w:hAnsi="Aptos"/>
          <w:b w:val="false"/>
          <w:bCs w:val="false"/>
          <w:i w:val="false"/>
          <w:iCs w:val="false"/>
          <w:color w:val="000000"/>
          <w:sz w:val="24"/>
          <w:szCs w:val="24"/>
        </w:rPr>
        <w:t xml:space="preserve">Any change that reduces the retention period of security logs below 180 days (CERT-In requirement).</w:t>
      </w:r>
    </w:p>
    <w:p>
      <w:pPr>
        <w:pStyle w:val="ListParagraph"/>
        <w:numPr>
          <w:ilvl w:val="0"/>
          <w:numId w:val="1"/>
        </w:numPr>
        <w:spacing w:after="80"/>
      </w:pPr>
      <w:r>
        <w:rPr>
          <w:rFonts w:ascii="Aptos" w:cs="Aptos" w:eastAsia="Aptos" w:hAnsi="Aptos"/>
          <w:b w:val="false"/>
          <w:bCs w:val="false"/>
          <w:i w:val="false"/>
          <w:iCs w:val="false"/>
          <w:color w:val="000000"/>
          <w:sz w:val="24"/>
          <w:szCs w:val="24"/>
        </w:rPr>
        <w:t xml:space="preserve">Any change that removes a Tier 1 vendor from the assessed supplier list without a replacement being assessed first.</w:t>
      </w:r>
    </w:p>
    <w:p>
      <w:pPr>
        <w:spacing w:after="140" w:before="60"/>
        <w:jc w:val="left"/>
      </w:pPr>
      <w:r>
        <w:rPr>
          <w:rFonts w:ascii="Aptos" w:cs="Aptos" w:eastAsia="Aptos" w:hAnsi="Aptos"/>
          <w:b w:val="false"/>
          <w:bCs w:val="false"/>
          <w:i w:val="false"/>
          <w:iCs w:val="false"/>
          <w:color w:val="000000"/>
          <w:sz w:val="24"/>
          <w:szCs w:val="24"/>
        </w:rPr>
        <w:t xml:space="preserve">These are not bureaucratic restrictions — they are the controls that a real breach scenario would most likely exploit. If a change requires any of these as a stepping stone, the design of the change needs to be reconsidered.</w:t>
      </w:r>
    </w:p>
    <w:p>
      <w:pPr>
        <w:pStyle w:val="Heading1"/>
        <w:spacing w:after="120" w:before="300"/>
      </w:pPr>
      <w:r>
        <w:rPr>
          <w:rFonts w:ascii="Aptos" w:cs="Aptos" w:eastAsia="Aptos" w:hAnsi="Aptos"/>
          <w:b/>
          <w:bCs/>
          <w:i w:val="false"/>
          <w:iCs w:val="false"/>
          <w:color w:val="000000"/>
          <w:sz w:val="36"/>
          <w:szCs w:val="36"/>
        </w:rPr>
        <w:t xml:space="preserve">9. Roles and Responsibilities</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2400"/>
        <w:gridCol w:w="7680"/>
      </w:tblGrid>
      <w:tr>
        <w:trPr>
          <w:cantSplit/>
          <w:tblHeader/>
        </w:trPr>
        <w:tc>
          <w:tcPr>
            <w:tcW w:type="dxa" w:w="24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Role</w:t>
            </w:r>
          </w:p>
        </w:tc>
        <w:tc>
          <w:tcPr>
            <w:tcW w:type="dxa" w:w="76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Responsibility under this procedure</w:t>
            </w:r>
          </w:p>
        </w:tc>
      </w:tr>
      <w:tr>
        <w:trPr>
          <w:cantSplit/>
        </w:trPr>
        <w:tc>
          <w:tcPr>
            <w:tcW w:type="dxa" w:w="2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Change requester</w:t>
            </w:r>
          </w:p>
        </w:tc>
        <w:tc>
          <w:tcPr>
            <w:tcW w:type="dxa" w:w="76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Completes the change request form and security impact assessment. Does not implement the change until approval is confirmed in writing. Escalates immediately if implementation deviates from the approved request.</w:t>
            </w:r>
          </w:p>
        </w:tc>
      </w:tr>
      <w:tr>
        <w:trPr>
          <w:cantSplit/>
        </w:trPr>
        <w:tc>
          <w:tcPr>
            <w:tcW w:type="dxa" w:w="2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CISO (Vikram Sundaram)</w:t>
            </w:r>
          </w:p>
        </w:tc>
        <w:tc>
          <w:tcPr>
            <w:tcW w:type="dxa" w:w="76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Reviews and approves Normal and Major changes for security impact. Approves Emergency changes operationally. Reviews all emergency changes at the next Steering Committee. Maintains the list of pre-approved standard change templates.</w:t>
            </w:r>
          </w:p>
        </w:tc>
      </w:tr>
      <w:tr>
        <w:trPr>
          <w:cantSplit/>
        </w:trPr>
        <w:tc>
          <w:tcPr>
            <w:tcW w:type="dxa" w:w="2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CTO / COO / Department heads</w:t>
            </w:r>
          </w:p>
        </w:tc>
        <w:tc>
          <w:tcPr>
            <w:tcW w:type="dxa" w:w="76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Approve changes within their functional area where the CISO has confirmed no security implications. Co-responsible for ensuring their teams follow this procedure.</w:t>
            </w:r>
          </w:p>
        </w:tc>
      </w:tr>
      <w:tr>
        <w:trPr>
          <w:cantSplit/>
        </w:trPr>
        <w:tc>
          <w:tcPr>
            <w:tcW w:type="dxa" w:w="2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 Manager (Meera Iyer)</w:t>
            </w:r>
          </w:p>
        </w:tc>
        <w:tc>
          <w:tcPr>
            <w:tcW w:type="dxa" w:w="76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Maintains the Change Log. Monitors for overdue post-implementation reviews. Reports change volume and any nonconformities at the quarterly Steering Committee. Flags to CISO any change that appears to have bypassed this procedure.</w:t>
            </w:r>
          </w:p>
        </w:tc>
      </w:tr>
      <w:tr>
        <w:trPr>
          <w:cantSplit/>
        </w:trPr>
        <w:tc>
          <w:tcPr>
            <w:tcW w:type="dxa" w:w="2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 Steering Committee</w:t>
            </w:r>
          </w:p>
        </w:tc>
        <w:tc>
          <w:tcPr>
            <w:tcW w:type="dxa" w:w="76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Approves Major changes. Reviews Emergency changes retrospectively at each quarterly meeting. Approves any change to this procedure itself.</w:t>
            </w:r>
          </w:p>
        </w:tc>
      </w:tr>
    </w:tbl>
    <w:p>
      <w:pPr>
        <w:pStyle w:val="Heading1"/>
        <w:spacing w:after="120" w:before="300"/>
      </w:pPr>
      <w:r>
        <w:rPr>
          <w:rFonts w:ascii="Aptos" w:cs="Aptos" w:eastAsia="Aptos" w:hAnsi="Aptos"/>
          <w:b/>
          <w:bCs/>
          <w:i w:val="false"/>
          <w:iCs w:val="false"/>
          <w:color w:val="000000"/>
          <w:sz w:val="36"/>
          <w:szCs w:val="36"/>
        </w:rPr>
        <w:t xml:space="preserve">10. Approval</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2300"/>
        <w:gridCol w:w="2900"/>
        <w:gridCol w:w="3000"/>
        <w:gridCol w:w="1880"/>
      </w:tblGrid>
      <w:tr>
        <w:trPr>
          <w:cantSplit/>
          <w:tblHeader/>
        </w:trPr>
        <w:tc>
          <w:tcPr>
            <w:tcW w:type="dxa" w:w="23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Name</w:t>
            </w:r>
          </w:p>
        </w:tc>
        <w:tc>
          <w:tcPr>
            <w:tcW w:type="dxa" w:w="29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Role</w:t>
            </w:r>
          </w:p>
        </w:tc>
        <w:tc>
          <w:tcPr>
            <w:tcW w:type="dxa" w:w="30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Decision</w:t>
            </w:r>
          </w:p>
        </w:tc>
        <w:tc>
          <w:tcPr>
            <w:tcW w:type="dxa" w:w="18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Date</w:t>
            </w:r>
          </w:p>
        </w:tc>
      </w:tr>
      <w:tr>
        <w:trPr>
          <w:cantSplit/>
        </w:trPr>
        <w:tc>
          <w:tcPr>
            <w:tcW w:type="dxa" w:w="23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Vikram Sundaram</w:t>
            </w:r>
          </w:p>
        </w:tc>
        <w:tc>
          <w:tcPr>
            <w:tcW w:type="dxa" w:w="29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Chief Information Security Officer</w:t>
            </w:r>
          </w:p>
        </w:tc>
        <w:tc>
          <w:tcPr>
            <w:tcW w:type="dxa" w:w="3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Procedure owner — prepared and confirmed</w:t>
            </w:r>
          </w:p>
        </w:tc>
        <w:tc>
          <w:tcPr>
            <w:tcW w:type="dxa" w:w="18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28 Apr 2026</w:t>
            </w:r>
          </w:p>
        </w:tc>
      </w:tr>
      <w:tr>
        <w:trPr>
          <w:cantSplit/>
        </w:trPr>
        <w:tc>
          <w:tcPr>
            <w:tcW w:type="dxa" w:w="23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Advait Deshmukh</w:t>
            </w:r>
          </w:p>
        </w:tc>
        <w:tc>
          <w:tcPr>
            <w:tcW w:type="dxa" w:w="29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VP Engineering</w:t>
            </w:r>
          </w:p>
        </w:tc>
        <w:tc>
          <w:tcPr>
            <w:tcW w:type="dxa" w:w="3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Engineering change process confirmed as consistent</w:t>
            </w:r>
          </w:p>
        </w:tc>
        <w:tc>
          <w:tcPr>
            <w:tcW w:type="dxa" w:w="18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29 Apr 2026</w:t>
            </w:r>
          </w:p>
        </w:tc>
      </w:tr>
      <w:tr>
        <w:trPr>
          <w:cantSplit/>
        </w:trPr>
        <w:tc>
          <w:tcPr>
            <w:tcW w:type="dxa" w:w="23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Sana Al Farsi</w:t>
            </w:r>
          </w:p>
        </w:tc>
        <w:tc>
          <w:tcPr>
            <w:tcW w:type="dxa" w:w="29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Head of Cloud Infrastructure</w:t>
            </w:r>
          </w:p>
        </w:tc>
        <w:tc>
          <w:tcPr>
            <w:tcW w:type="dxa" w:w="3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Infrastructure change process confirmed as consistent</w:t>
            </w:r>
          </w:p>
        </w:tc>
        <w:tc>
          <w:tcPr>
            <w:tcW w:type="dxa" w:w="18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29 Apr 2026</w:t>
            </w:r>
          </w:p>
        </w:tc>
      </w:tr>
      <w:tr>
        <w:trPr>
          <w:cantSplit/>
        </w:trPr>
        <w:tc>
          <w:tcPr>
            <w:tcW w:type="dxa" w:w="23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Ananya Rao</w:t>
            </w:r>
          </w:p>
        </w:tc>
        <w:tc>
          <w:tcPr>
            <w:tcW w:type="dxa" w:w="29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Chief Executive Officer</w:t>
            </w:r>
          </w:p>
        </w:tc>
        <w:tc>
          <w:tcPr>
            <w:tcW w:type="dxa" w:w="3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Approved on behalf of the ISMS Steering Committee</w:t>
            </w:r>
          </w:p>
        </w:tc>
        <w:tc>
          <w:tcPr>
            <w:tcW w:type="dxa" w:w="18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30 Apr 2026</w:t>
            </w:r>
          </w:p>
        </w:tc>
      </w:tr>
    </w:tbl>
    <w:p>
      <w:pPr>
        <w:keepNext/>
        <w:spacing w:after="80" w:before="260"/>
      </w:pPr>
      <w:r>
        <w:rPr>
          <w:rFonts w:ascii="Aptos" w:cs="Aptos" w:eastAsia="Aptos" w:hAnsi="Aptos"/>
          <w:b w:val="false"/>
          <w:bCs w:val="false"/>
          <w:i w:val="false"/>
          <w:iCs w:val="false"/>
          <w:color w:val="000000"/>
          <w:sz w:val="24"/>
          <w:szCs w:val="24"/>
        </w:rPr>
        <w:t xml:space="preserve">Signature: ______________________________________     Date: _________________________</w:t>
      </w:r>
    </w:p>
    <w:p>
      <w:pPr>
        <w:spacing w:after="160"/>
      </w:pPr>
      <w:r>
        <w:rPr>
          <w:rFonts w:ascii="Aptos" w:cs="Aptos" w:eastAsia="Aptos" w:hAnsi="Aptos"/>
          <w:b w:val="false"/>
          <w:bCs w:val="false"/>
          <w:i/>
          <w:iCs/>
          <w:color w:val="000000"/>
          <w:sz w:val="24"/>
          <w:szCs w:val="24"/>
        </w:rPr>
        <w:t xml:space="preserve">Ananya Rao, Chief Executive Officer, MediSync Technologies Pvt. Ltd.</w:t>
      </w:r>
    </w:p>
    <w:p>
      <w:r>
        <w:br w:type="page"/>
      </w:r>
    </w:p>
    <w:p>
      <w:pPr>
        <w:pStyle w:val="Heading1"/>
        <w:spacing w:after="120" w:before="300"/>
      </w:pPr>
      <w:r>
        <w:rPr>
          <w:rFonts w:ascii="Aptos" w:cs="Aptos" w:eastAsia="Aptos" w:hAnsi="Aptos"/>
          <w:b/>
          <w:bCs/>
          <w:i w:val="false"/>
          <w:iCs w:val="false"/>
          <w:color w:val="000000"/>
          <w:sz w:val="36"/>
          <w:szCs w:val="36"/>
        </w:rPr>
        <w:t xml:space="preserve">Appendix A — Change Request Form Template</w:t>
      </w:r>
    </w:p>
    <w:p>
      <w:pPr>
        <w:spacing w:after="140" w:before="0"/>
        <w:jc w:val="left"/>
      </w:pPr>
      <w:r>
        <w:rPr>
          <w:rFonts w:ascii="Aptos" w:cs="Aptos" w:eastAsia="Aptos" w:hAnsi="Aptos"/>
          <w:b w:val="false"/>
          <w:bCs w:val="false"/>
          <w:i/>
          <w:iCs/>
          <w:color w:val="000000"/>
          <w:sz w:val="24"/>
          <w:szCs w:val="24"/>
        </w:rPr>
        <w:t xml:space="preserve">Copy this template for each change request. Store completed forms in the GRC Repository &gt; Change Management.</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3024"/>
        <w:gridCol w:w="7056"/>
      </w:tblGrid>
      <w:tr>
        <w:trPr>
          <w:cantSplit/>
          <w:tblHeader/>
        </w:trPr>
        <w:tc>
          <w:tcPr>
            <w:tcW w:type="dxa" w:w="3024"/>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Field</w:t>
            </w:r>
          </w:p>
        </w:tc>
        <w:tc>
          <w:tcPr>
            <w:tcW w:type="dxa" w:w="7056"/>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Complete this field</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Change ID</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Assigned by ISMS Manager (CHG-XXX)</w:t>
            </w:r>
          </w:p>
        </w:tc>
      </w:tr>
      <w:tr>
        <w:trPr>
          <w:cantSplit/>
        </w:trPr>
        <w:tc>
          <w:tcPr>
            <w:tcW w:type="dxa" w:w="3024"/>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Date raised</w:t>
            </w:r>
          </w:p>
        </w:tc>
        <w:tc>
          <w:tcPr>
            <w:tcW w:type="dxa" w:w="7056"/>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Raised by</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
            </w:r>
          </w:p>
        </w:tc>
      </w:tr>
      <w:tr>
        <w:trPr>
          <w:cantSplit/>
        </w:trPr>
        <w:tc>
          <w:tcPr>
            <w:tcW w:type="dxa" w:w="3024"/>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Change type</w:t>
            </w:r>
          </w:p>
        </w:tc>
        <w:tc>
          <w:tcPr>
            <w:tcW w:type="dxa" w:w="7056"/>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Standard / Normal / Major / Emergency</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Change category</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 change / Technical change / Organisational change</w:t>
            </w:r>
          </w:p>
        </w:tc>
      </w:tr>
      <w:tr>
        <w:trPr>
          <w:cantSplit/>
        </w:trPr>
        <w:tc>
          <w:tcPr>
            <w:tcW w:type="dxa" w:w="3024"/>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Change description</w:t>
            </w:r>
          </w:p>
        </w:tc>
        <w:tc>
          <w:tcPr>
            <w:tcW w:type="dxa" w:w="7056"/>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(What is changing, and why)</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Systems / assets affected</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(Reference ISMS-PLN-003 asset IDs where applicable)</w:t>
            </w:r>
          </w:p>
        </w:tc>
      </w:tr>
      <w:tr>
        <w:trPr>
          <w:cantSplit/>
        </w:trPr>
        <w:tc>
          <w:tcPr>
            <w:tcW w:type="dxa" w:w="3024"/>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Proposed implementation date</w:t>
            </w:r>
          </w:p>
        </w:tc>
        <w:tc>
          <w:tcPr>
            <w:tcW w:type="dxa" w:w="7056"/>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Implementer</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
            </w:r>
          </w:p>
        </w:tc>
      </w:tr>
      <w:tr>
        <w:trPr>
          <w:cantSplit/>
        </w:trPr>
        <w:tc>
          <w:tcPr>
            <w:tcW w:type="dxa" w:w="3024"/>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Rollback plan</w:t>
            </w:r>
          </w:p>
        </w:tc>
        <w:tc>
          <w:tcPr>
            <w:tcW w:type="dxa" w:w="7056"/>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(How will the change be reversed if something goes wrong?)</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SIA-01 (Restricted data?)</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Yes / No / Unknown</w:t>
            </w:r>
          </w:p>
        </w:tc>
      </w:tr>
      <w:tr>
        <w:trPr>
          <w:cantSplit/>
        </w:trPr>
        <w:tc>
          <w:tcPr>
            <w:tcW w:type="dxa" w:w="3024"/>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SIA-02 (Shared platform?)</w:t>
            </w:r>
          </w:p>
        </w:tc>
        <w:tc>
          <w:tcPr>
            <w:tcW w:type="dxa" w:w="7056"/>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Yes / No / Unknown</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SIA-03 (New third party?)</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Yes / No / Unknown</w:t>
            </w:r>
          </w:p>
        </w:tc>
      </w:tr>
      <w:tr>
        <w:trPr>
          <w:cantSplit/>
        </w:trPr>
        <w:tc>
          <w:tcPr>
            <w:tcW w:type="dxa" w:w="3024"/>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SIA-04 (MFA / access / encryption / segmentation?)</w:t>
            </w:r>
          </w:p>
        </w:tc>
        <w:tc>
          <w:tcPr>
            <w:tcW w:type="dxa" w:w="7056"/>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Yes / No / Unknown</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SIA-05 (Data residency?)</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Yes / No / Unknown</w:t>
            </w:r>
          </w:p>
        </w:tc>
      </w:tr>
      <w:tr>
        <w:trPr>
          <w:cantSplit/>
        </w:trPr>
        <w:tc>
          <w:tcPr>
            <w:tcW w:type="dxa" w:w="3024"/>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SIA-06 (New or changed risk?)</w:t>
            </w:r>
          </w:p>
        </w:tc>
        <w:tc>
          <w:tcPr>
            <w:tcW w:type="dxa" w:w="7056"/>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Yes / No / Unknown</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SIA-07 (Regulatory impact?)</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Yes / No / Unknown</w:t>
            </w:r>
          </w:p>
        </w:tc>
      </w:tr>
      <w:tr>
        <w:trPr>
          <w:cantSplit/>
        </w:trPr>
        <w:tc>
          <w:tcPr>
            <w:tcW w:type="dxa" w:w="3024"/>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SIA completed by</w:t>
            </w:r>
          </w:p>
        </w:tc>
        <w:tc>
          <w:tcPr>
            <w:tcW w:type="dxa" w:w="7056"/>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SIA completed date</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
            </w:r>
          </w:p>
        </w:tc>
      </w:tr>
      <w:tr>
        <w:trPr>
          <w:cantSplit/>
        </w:trPr>
        <w:tc>
          <w:tcPr>
            <w:tcW w:type="dxa" w:w="3024"/>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Approver</w:t>
            </w:r>
          </w:p>
        </w:tc>
        <w:tc>
          <w:tcPr>
            <w:tcW w:type="dxa" w:w="7056"/>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Approval date</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
            </w:r>
          </w:p>
        </w:tc>
      </w:tr>
      <w:tr>
        <w:trPr>
          <w:cantSplit/>
        </w:trPr>
        <w:tc>
          <w:tcPr>
            <w:tcW w:type="dxa" w:w="3024"/>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Implementation date (actual)</w:t>
            </w:r>
          </w:p>
        </w:tc>
        <w:tc>
          <w:tcPr>
            <w:tcW w:type="dxa" w:w="7056"/>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Post-implementation review date</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
            </w:r>
          </w:p>
        </w:tc>
      </w:tr>
      <w:tr>
        <w:trPr>
          <w:cantSplit/>
        </w:trPr>
        <w:tc>
          <w:tcPr>
            <w:tcW w:type="dxa" w:w="3024"/>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Outcome</w:t>
            </w:r>
          </w:p>
        </w:tc>
        <w:tc>
          <w:tcPr>
            <w:tcW w:type="dxa" w:w="7056"/>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Implemented as planned / Deviated / Reverted</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Risk register update required?</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Yes (R-XXX) / No</w:t>
            </w:r>
          </w:p>
        </w:tc>
      </w:tr>
      <w:tr>
        <w:trPr>
          <w:cantSplit/>
        </w:trPr>
        <w:tc>
          <w:tcPr>
            <w:tcW w:type="dxa" w:w="3024"/>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 document update required?</w:t>
            </w:r>
          </w:p>
        </w:tc>
        <w:tc>
          <w:tcPr>
            <w:tcW w:type="dxa" w:w="7056"/>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Yes (document ID, new version) / No</w:t>
            </w:r>
          </w:p>
        </w:tc>
      </w:tr>
    </w:tbl>
    <w:sectPr>
      <w:headerReference w:type="default" r:id="rId7"/>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000000"/>
        <w:sz w:val="20"/>
        <w:szCs w:val="20"/>
      </w:rPr>
      <w:t xml:space="preserve">MediSync Technologies Pvt. Ltd.  ·  Confidential — Internal Use Only  ·  Page </w:t>
    </w:r>
    <w:r>
      <w:rPr>
        <w:rFonts w:ascii="Aptos" w:cs="Aptos" w:eastAsia="Aptos" w:hAnsi="Aptos"/>
        <w:sz w:val="20"/>
        <w:szCs w:val="20"/>
      </w:rPr>
      <w:fldChar w:fldCharType="begin"/>
      <w:instrText xml:space="preserve">PAGE</w:instrText>
      <w:fldChar w:fldCharType="separate"/>
      <w:fldChar w:fldCharType="end"/>
    </w:r>
    <w:r>
      <w:rPr>
        <w:rFonts w:ascii="Aptos" w:cs="Aptos" w:eastAsia="Aptos" w:hAnsi="Aptos"/>
        <w:color w:val="000000"/>
        <w:sz w:val="20"/>
        <w:szCs w:val="20"/>
      </w:rPr>
      <w:t xml:space="preserve"> of </w:t>
    </w:r>
    <w:r>
      <w:rPr>
        <w:rFonts w:ascii="Aptos" w:cs="Aptos" w:eastAsia="Aptos" w:hAnsi="Aptos"/>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ptos" w:cs="Aptos" w:eastAsia="Aptos" w:hAnsi="Aptos"/>
        <w:i/>
        <w:iCs/>
        <w:color w:val="000000"/>
        <w:sz w:val="20"/>
        <w:szCs w:val="20"/>
      </w:rPr>
      <w:t xml:space="preserve">ISMS-PLN-009  |  Change Management Procedure  |  Project HealthSec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ptos" w:cs="Aptos" w:eastAsia="Aptos" w:hAnsi="Aptos"/>
      <w:b/>
      <w:bCs/>
      <w:color w:val="000000"/>
      <w:sz w:val="36"/>
      <w:szCs w:val="36"/>
    </w:rPr>
  </w:style>
  <w:style w:type="paragraph" w:styleId="Heading2">
    <w:name w:val="Heading 2"/>
    <w:basedOn w:val="Normal"/>
    <w:next w:val="Normal"/>
    <w:qFormat/>
    <w:rPr>
      <w:rFonts w:ascii="Aptos" w:cs="Aptos" w:eastAsia="Aptos" w:hAnsi="Aptos"/>
      <w:b/>
      <w:bCs/>
      <w:color w:val="000000"/>
      <w:sz w:val="32"/>
      <w:szCs w:val="32"/>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2026-08-25T10:37:11.680Z</dcterms:created>
  <dcterms:modified xsi:type="dcterms:W3CDTF">2026-08-25T10:37:11.692Z</dcterms:modified>
</cp:coreProperties>
</file>

<file path=docProps/custom.xml><?xml version="1.0" encoding="utf-8"?>
<Properties xmlns="http://schemas.openxmlformats.org/officeDocument/2006/custom-properties" xmlns:vt="http://schemas.openxmlformats.org/officeDocument/2006/docPropsVTypes"/>
</file>