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RISK ASSESSMENT REPORT — ASSET-BASED</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Report — Asset-Based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 — Information Security Risk Assessment (Asset-Based Stream)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10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Risk 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 — Senior Management and Audit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Period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 20 May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Reassessment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 or on trigger per ISMS-PLN-001 Section 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ISMS-PLN-011 Risk Assessment Report — Scenario-Based; ISMS-PLN-004 Risk Register; ISMS-PLN-003 Information Asset Register</w:t>
            </w:r>
          </w:p>
        </w:tc>
      </w:tr>
    </w:tbl>
    <w:p>
      <w:pPr>
        <w:spacing w:after="200" w:before="140"/>
      </w:pPr>
      <w:r>
        <w:rPr>
          <w:rFonts w:ascii="Aptos" w:cs="Aptos" w:eastAsia="Aptos" w:hAnsi="Aptos"/>
          <w:b w:val="false"/>
          <w:bCs w:val="false"/>
          <w:i/>
          <w:iCs/>
          <w:color w:val="000000"/>
          <w:sz w:val="24"/>
          <w:szCs w:val="24"/>
        </w:rPr>
        <w:t xml:space="preserve">This report documents the findings of the asset-based stream of the MediSync Phase 3 risk assessment, conducted using the methodology defined in ISMS-PLN-001. It provides the narrative and evidence base behind the risk entries in ISMS-PLN-004. It is classified Restricted — it contains the detailed threat and vulnerability analysis for MediSync's production infrastructure.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following asset group workshops.</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May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findings validated with Sana Al Farsi and Neha Choudhury. Near-miss evidence incorporated.</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as the asset-based stream baseline.</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methodology this report applies. All scores and ratings use PLN-001 scales.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&amp; Criteria</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appetite thresholds used to classify risks above/within appetite.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Asset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asset inventory from which this assessment derives its scope.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register populated by the findings in this report and its companion PLN-011.</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 Scenario-Based</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parallel scenario-based stream. Both reports feed PLN-004.</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Assessment Report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gap findings that provided preliminary risk inputs and evidence of near-misses.</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report documents the findings of the asset-based stream of MediSync's Phase 3 risk assessment. The assessment was conducted in accordance with ISMS-PLN-001 (Risk Assessment Methodology) between 15 April and 20 May 2026, covering all assets registered in ISMS-PLN-003.</w:t>
      </w:r>
    </w:p>
    <w:p>
      <w:pPr>
        <w:spacing w:after="140" w:before="0"/>
        <w:jc w:val="left"/>
      </w:pPr>
      <w:r>
        <w:rPr>
          <w:rFonts w:ascii="Aptos" w:cs="Aptos" w:eastAsia="Aptos" w:hAnsi="Aptos"/>
          <w:b w:val="false"/>
          <w:bCs w:val="false"/>
          <w:i w:val="false"/>
          <w:iCs w:val="false"/>
          <w:color w:val="000000"/>
          <w:sz w:val="24"/>
          <w:szCs w:val="24"/>
        </w:rPr>
        <w:t xml:space="preserve">The asset-based stream works from the asset register outward: for each asset or asset group, it identifies what threats exist, what vulnerabilities those threats could exploit, and what the consequence would be if the threat were realised. This is the standard ISO 27001 risk identification approach.</w:t>
      </w:r>
    </w:p>
    <w:p>
      <w:pPr>
        <w:spacing w:after="140" w:before="0"/>
        <w:jc w:val="left"/>
      </w:pPr>
      <w:r>
        <w:rPr>
          <w:rFonts w:ascii="Aptos" w:cs="Aptos" w:eastAsia="Aptos" w:hAnsi="Aptos"/>
          <w:b w:val="false"/>
          <w:bCs w:val="false"/>
          <w:i w:val="false"/>
          <w:iCs w:val="false"/>
          <w:color w:val="000000"/>
          <w:sz w:val="24"/>
          <w:szCs w:val="24"/>
        </w:rPr>
        <w:t xml:space="preserve">The companion scenario-based assessment (ISMS-PLN-011) covers systemic risks that span multiple assets — in particular, the correlated failure scenarios specific to MediSync's shared platform architecture. Both streams feed the single risk register (ISMS-PLN-004).</w:t>
      </w:r>
    </w:p>
    <w:p>
      <w:pPr>
        <w:pStyle w:val="Heading1"/>
        <w:spacing w:after="120" w:before="300"/>
      </w:pPr>
      <w:r>
        <w:rPr>
          <w:rFonts w:ascii="Aptos" w:cs="Aptos" w:eastAsia="Aptos" w:hAnsi="Aptos"/>
          <w:b/>
          <w:bCs/>
          <w:i w:val="false"/>
          <w:iCs w:val="false"/>
          <w:color w:val="000000"/>
          <w:sz w:val="36"/>
          <w:szCs w:val="36"/>
        </w:rPr>
        <w:t xml:space="preserve">2. Assessment Scope</w:t>
      </w:r>
    </w:p>
    <w:p>
      <w:pPr>
        <w:spacing w:after="140" w:before="0"/>
        <w:jc w:val="left"/>
      </w:pPr>
      <w:r>
        <w:rPr>
          <w:rFonts w:ascii="Aptos" w:cs="Aptos" w:eastAsia="Aptos" w:hAnsi="Aptos"/>
          <w:b w:val="false"/>
          <w:bCs w:val="false"/>
          <w:i w:val="false"/>
          <w:iCs w:val="false"/>
          <w:color w:val="000000"/>
          <w:sz w:val="24"/>
          <w:szCs w:val="24"/>
        </w:rPr>
        <w:t xml:space="preserve">The assessment covers all 47 assets in ISMS-PLN-003 within the ISMS scope defined in ISMS-INI-011. Assets were assessed in the sequence mandated by ISMS-PLN-001 Section 2.1: shared platform layer first (SH-PLAT-001 to SH-PLAT-015), then product and data assets, then supporting assets.</w:t>
      </w:r>
    </w:p>
    <w:p>
      <w:pPr>
        <w:spacing w:after="140" w:before="0"/>
        <w:jc w:val="left"/>
      </w:pPr>
      <w:r>
        <w:rPr>
          <w:rFonts w:ascii="Aptos" w:cs="Aptos" w:eastAsia="Aptos" w:hAnsi="Aptos"/>
          <w:b w:val="false"/>
          <w:bCs w:val="false"/>
          <w:i w:val="false"/>
          <w:iCs w:val="false"/>
          <w:color w:val="000000"/>
          <w:sz w:val="24"/>
          <w:szCs w:val="24"/>
        </w:rPr>
        <w:t xml:space="preserve">The following personnel participated in the assessment workshops: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 / Name</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Asset groups covered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 Workshop lead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asset groups; risk scoring validation; threat model review</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(Head of Cloud Infrastructure)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SH-PLAT-006/007 (data tiers), SH-PLAT-011/012 (backups), SH-PLAT-013/014 (network), SH-PLAT-015 (Kubernetes), SC-001/002 (CI/CD), EK-001/002 (encryption keys)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SH-PLAT-008/009/010 (monitoring), TP-001 (SentinelWatch), incident history review</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(VP Engineering)</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PR-001 to PR-008 (all products), SC-001/002 (source code/CI-CD)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Supporting assets (CD-001 to CD-004, TP-002 to TP-006), process and documentation assets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CD-001 (contracts), regulatory compliance assets; ISMS-INI-010 obligations review</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 (Lead ISMS Consultant)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Facilitation, threat intelligence inputs, ISMS-INI-008 reference, scoring consistency</w:t>
            </w:r>
          </w:p>
        </w:tc>
      </w:tr>
    </w:tbl>
    <w:p>
      <w:pPr>
        <w:pStyle w:val="Heading1"/>
        <w:spacing w:after="120" w:before="300"/>
      </w:pPr>
      <w:r>
        <w:rPr>
          <w:rFonts w:ascii="Aptos" w:cs="Aptos" w:eastAsia="Aptos" w:hAnsi="Aptos"/>
          <w:b/>
          <w:bCs/>
          <w:i w:val="false"/>
          <w:iCs w:val="false"/>
          <w:color w:val="000000"/>
          <w:sz w:val="36"/>
          <w:szCs w:val="36"/>
        </w:rPr>
        <w:t xml:space="preserve">3. Methodology Summary</w:t>
      </w:r>
    </w:p>
    <w:p>
      <w:pPr>
        <w:spacing w:after="140" w:before="0"/>
        <w:jc w:val="left"/>
      </w:pPr>
      <w:r>
        <w:rPr>
          <w:rFonts w:ascii="Aptos" w:cs="Aptos" w:eastAsia="Aptos" w:hAnsi="Aptos"/>
          <w:b w:val="false"/>
          <w:bCs w:val="false"/>
          <w:i w:val="false"/>
          <w:iCs w:val="false"/>
          <w:color w:val="000000"/>
          <w:sz w:val="24"/>
          <w:szCs w:val="24"/>
        </w:rPr>
        <w:t xml:space="preserve">Full methodology is documented in ISMS-PLN-001. The key parameters applied in this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Applied value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 scale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(Rare) to 5 (Almost Certain). Calibrated to MediSync's specific environment — see ISMS-PLN-001 Section 4.</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 scale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(Low) to 5 (Catastrophic). Calibrated to MediSync's regulatory context and customer obligations — see ISMS-PLN-001 Section 5.</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 × Impact. Heat map rating per ISMS-PLN-001 Section 6: CRITICAL (20–25), HIGH (12–19), MED-HIGH (8–11), MEDIUM (4–7), LOW (1–3).</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effectiveness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effective / Partially effective / Not effective. Controls only reduce the score if they are evidenced as operating — not merely documented.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score adjusted per ISMS-PLN-001 Section 7. Fully effective controls reduce likelihood by up to 2 points; partially effective by 1; not effective = no reduction.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Near-miss rule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near-miss (2024) and cloud misconfiguration near-miss (2024) scored at minimum POSSIBLE likelihood (3) regardless of subsequent control improvements.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Appetite thresholds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ISMS-PLN-002. Risks above appetite: CRITICAL and HIGH for all categories; HIGH for Restricted data risks regardless of category.</w:t>
            </w:r>
          </w:p>
        </w:tc>
      </w:tr>
    </w:tbl>
    <w:p>
      <w:pPr>
        <w:pStyle w:val="Heading1"/>
        <w:spacing w:after="120" w:before="300"/>
      </w:pPr>
      <w:r>
        <w:rPr>
          <w:rFonts w:ascii="Aptos" w:cs="Aptos" w:eastAsia="Aptos" w:hAnsi="Aptos"/>
          <w:b/>
          <w:bCs/>
          <w:i w:val="false"/>
          <w:iCs w:val="false"/>
          <w:color w:val="000000"/>
          <w:sz w:val="36"/>
          <w:szCs w:val="36"/>
        </w:rPr>
        <w:t xml:space="preserve">4. Shared Platform Layer — Assessment Findings</w:t>
      </w:r>
    </w:p>
    <w:p>
      <w:pPr>
        <w:spacing w:after="140" w:before="0"/>
        <w:jc w:val="left"/>
      </w:pPr>
      <w:r>
        <w:rPr>
          <w:rFonts w:ascii="Aptos" w:cs="Aptos" w:eastAsia="Aptos" w:hAnsi="Aptos"/>
          <w:b w:val="false"/>
          <w:bCs w:val="false"/>
          <w:i w:val="false"/>
          <w:iCs w:val="false"/>
          <w:color w:val="000000"/>
          <w:sz w:val="24"/>
          <w:szCs w:val="24"/>
        </w:rPr>
        <w:t xml:space="preserve">The shared platform layer was assessed first, as mandated by ISMS-PLN-001 Section 2.1. This is the highest-priority asset group: a failure here affects every product and every customer in the affected region simultaneously.</w:t>
      </w:r>
    </w:p>
    <w:p>
      <w:pPr>
        <w:pStyle w:val="Heading2"/>
        <w:spacing w:after="100" w:before="200"/>
      </w:pPr>
      <w:r>
        <w:rPr>
          <w:rFonts w:ascii="Aptos" w:cs="Aptos" w:eastAsia="Aptos" w:hAnsi="Aptos"/>
          <w:b/>
          <w:bCs/>
          <w:i w:val="false"/>
          <w:iCs w:val="false"/>
          <w:color w:val="000000"/>
          <w:sz w:val="32"/>
          <w:szCs w:val="32"/>
        </w:rPr>
        <w:t xml:space="preserve">4.1 Identity and Access Management (SH-PLAT-001 to SH-PLAT-003)</w:t>
      </w:r>
    </w:p>
    <w:p>
      <w:pPr>
        <w:spacing w:after="140" w:before="0"/>
        <w:jc w:val="left"/>
      </w:pPr>
      <w:r>
        <w:rPr>
          <w:rFonts w:ascii="Aptos" w:cs="Aptos" w:eastAsia="Aptos" w:hAnsi="Aptos"/>
          <w:b w:val="false"/>
          <w:bCs w:val="false"/>
          <w:i w:val="false"/>
          <w:iCs w:val="false"/>
          <w:color w:val="000000"/>
          <w:sz w:val="24"/>
          <w:szCs w:val="24"/>
        </w:rPr>
        <w:t xml:space="preserve">Microsoft Entra ID (SH-PLAT-001) is the identity backbone for all MediSync systems. MFA is enforced organisation-wide — this is MediSync's strongest single existing control. The assessment confirmed: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MFA enforcement via Entra ID: fully effective, confirmed in configuration. Reduces phishing-based credential theft blast radius significantly.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Privileged Identity Management (SH-PLAT-002): partially effective. PIM configured for Azure and AWS admin accounts but hospital-facing admin accounts do not go through PIM — they use a separate access path that has not been reviewed in over 12 months.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API keys and service account credentials (SH-PLAT-003): partially effective. Production secrets are in Azure Key Vault and AWS Secrets Manager. No documented rotation schedule; developer practice governs secret management in the pipeline.</w:t>
      </w:r>
    </w:p>
    <w:p>
      <w:pPr>
        <w:spacing w:after="140" w:before="0"/>
        <w:jc w:val="left"/>
      </w:pPr>
      <w:r>
        <w:rPr>
          <w:rFonts w:ascii="Aptos" w:cs="Aptos" w:eastAsia="Aptos" w:hAnsi="Aptos"/>
          <w:b w:val="false"/>
          <w:bCs w:val="false"/>
          <w:i w:val="false"/>
          <w:iCs w:val="false"/>
          <w:color w:val="000000"/>
          <w:sz w:val="24"/>
          <w:szCs w:val="24"/>
        </w:rPr>
        <w:t xml:space="preserve">Primary risk identified: stale access rights on hospital-facing admin accounts (RISK entry R-004 in ISMS-PLN-004). Last full access review was over 12 months before the assessment date. Inherent risk: Likelihood 4 × Impact 4 = 16 (HIGH). Residual: Likelihood 3 (MFA partially effective — reduces breach impact but not the stale account itself) × Impact 4 = 12 (HIGH). Above appetite — mandatory treatment.</w:t>
      </w:r>
    </w:p>
    <w:p>
      <w:pPr>
        <w:pStyle w:val="Heading2"/>
        <w:spacing w:after="100" w:before="200"/>
      </w:pPr>
      <w:r>
        <w:rPr>
          <w:rFonts w:ascii="Aptos" w:cs="Aptos" w:eastAsia="Aptos" w:hAnsi="Aptos"/>
          <w:b/>
          <w:bCs/>
          <w:i w:val="false"/>
          <w:iCs w:val="false"/>
          <w:color w:val="000000"/>
          <w:sz w:val="32"/>
          <w:szCs w:val="32"/>
        </w:rPr>
        <w:t xml:space="preserve">4.2 API Gateway (SH-PLAT-004 and SH-PLAT-005)</w:t>
      </w:r>
    </w:p>
    <w:p>
      <w:pPr>
        <w:spacing w:after="140" w:before="0"/>
        <w:jc w:val="left"/>
      </w:pPr>
      <w:r>
        <w:rPr>
          <w:rFonts w:ascii="Aptos" w:cs="Aptos" w:eastAsia="Aptos" w:hAnsi="Aptos"/>
          <w:b w:val="false"/>
          <w:bCs w:val="false"/>
          <w:i w:val="false"/>
          <w:iCs w:val="false"/>
          <w:color w:val="000000"/>
          <w:sz w:val="24"/>
          <w:szCs w:val="24"/>
        </w:rPr>
        <w:t xml:space="preserve">The API gateway is the sole broker for all inter-product and external data flows. No direct product-to-product calls exist — everything passes through API-GW. This architectural decision is a significant control strength: it creates a single monitoring and enforcement point. It also means that a compromise of API-GW affects all data flows simultaneously.</w:t>
      </w:r>
    </w:p>
    <w:p>
      <w:pPr>
        <w:spacing w:after="140" w:before="0"/>
        <w:jc w:val="left"/>
      </w:pPr>
      <w:r>
        <w:rPr>
          <w:rFonts w:ascii="Aptos" w:cs="Aptos" w:eastAsia="Aptos" w:hAnsi="Aptos"/>
          <w:b w:val="false"/>
          <w:bCs w:val="false"/>
          <w:i w:val="false"/>
          <w:iCs w:val="false"/>
          <w:color w:val="000000"/>
          <w:sz w:val="24"/>
          <w:szCs w:val="24"/>
        </w:rPr>
        <w:t xml:space="preserve">Assessment findings: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TLS enforced at the API-GW layer for all traffic — fully effective.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Rate limiting and authentication requirements configured — partially effective (configuration exists but not reviewed against a defined security standard).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No dedicated API-GW threat model. No API-GW-specific Sentinel alert rules. A targeted attack against the API-GW layer would not trigger a specific alert — it would appear as normal traffic anomalies.</w:t>
      </w:r>
    </w:p>
    <w:p>
      <w:pPr>
        <w:spacing w:after="140" w:before="0"/>
        <w:jc w:val="left"/>
      </w:pPr>
      <w:r>
        <w:rPr>
          <w:rFonts w:ascii="Aptos" w:cs="Aptos" w:eastAsia="Aptos" w:hAnsi="Aptos"/>
          <w:b w:val="false"/>
          <w:bCs w:val="false"/>
          <w:i w:val="false"/>
          <w:iCs w:val="false"/>
          <w:color w:val="000000"/>
          <w:sz w:val="24"/>
          <w:szCs w:val="24"/>
        </w:rPr>
        <w:t xml:space="preserve">This finding contributed to risk R-001 (shared platform compromise) in ISMS-PLN-004. It is addressed in the threat model treatment action in ISMS-PLN-005.</w:t>
      </w:r>
    </w:p>
    <w:p>
      <w:pPr>
        <w:pStyle w:val="Heading2"/>
        <w:spacing w:after="100" w:before="200"/>
      </w:pPr>
      <w:r>
        <w:rPr>
          <w:rFonts w:ascii="Aptos" w:cs="Aptos" w:eastAsia="Aptos" w:hAnsi="Aptos"/>
          <w:b/>
          <w:bCs/>
          <w:i w:val="false"/>
          <w:iCs w:val="false"/>
          <w:color w:val="000000"/>
          <w:sz w:val="32"/>
          <w:szCs w:val="32"/>
        </w:rPr>
        <w:t xml:space="preserve">4.3 Data Tier — India and UAE (SH-PLAT-006 and SH-PLAT-007)</w:t>
      </w:r>
    </w:p>
    <w:p>
      <w:pPr>
        <w:spacing w:after="140" w:before="0"/>
        <w:jc w:val="left"/>
      </w:pPr>
      <w:r>
        <w:rPr>
          <w:rFonts w:ascii="Aptos" w:cs="Aptos" w:eastAsia="Aptos" w:hAnsi="Aptos"/>
          <w:b w:val="false"/>
          <w:bCs w:val="false"/>
          <w:i w:val="false"/>
          <w:iCs w:val="false"/>
          <w:color w:val="000000"/>
          <w:sz w:val="24"/>
          <w:szCs w:val="24"/>
        </w:rPr>
        <w:t xml:space="preserve">The PostgreSQL data tiers hold all clinical and operational data for India and UAE customers respectively. Both are Restricted-classified. Key assessment findings: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Encryption at rest via AWS KMS (India) and Azure Key Vault (UAE) — fully effective. Confirmed in configuration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No direct internet access to the data tier — enforced by Palo Alto NGFW segmentation. Fully effective.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Data residency enforced: India data does not replicate to UAE and vice versa. Confirmed in cloud architecture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Near-miss 2024: A storage bucket access policy misconfiguration briefly exposed data at the storage tier level. This was found by internal review, not by monitoring. The monitoring gap (SH-PLAT-008) means a similar misconfiguration could go undetected for longer.</w:t>
      </w:r>
    </w:p>
    <w:p>
      <w:pPr>
        <w:spacing w:after="140" w:before="0"/>
        <w:jc w:val="left"/>
      </w:pPr>
      <w:r>
        <w:rPr>
          <w:rFonts w:ascii="Aptos" w:cs="Aptos" w:eastAsia="Aptos" w:hAnsi="Aptos"/>
          <w:b w:val="false"/>
          <w:bCs w:val="false"/>
          <w:i w:val="false"/>
          <w:iCs w:val="false"/>
          <w:color w:val="000000"/>
          <w:sz w:val="24"/>
          <w:szCs w:val="24"/>
        </w:rPr>
        <w:t xml:space="preserve">The data tier itself is well-protected. The primary risk is the path to it — API-GW configuration (4.2) and cloud misconfiguration (4.6) are the primary threats. Risk R-003 (cloud misconfiguration) in ISMS-PLN-004 directly addresses this.</w:t>
      </w:r>
    </w:p>
    <w:p>
      <w:pPr>
        <w:pStyle w:val="Heading2"/>
        <w:spacing w:after="100" w:before="200"/>
      </w:pPr>
      <w:r>
        <w:rPr>
          <w:rFonts w:ascii="Aptos" w:cs="Aptos" w:eastAsia="Aptos" w:hAnsi="Aptos"/>
          <w:b/>
          <w:bCs/>
          <w:i w:val="false"/>
          <w:iCs w:val="false"/>
          <w:color w:val="000000"/>
          <w:sz w:val="32"/>
          <w:szCs w:val="32"/>
        </w:rPr>
        <w:t xml:space="preserve">4.4 Monitoring and Logging (SH-PLAT-008 to SH-PLAT-010)</w:t>
      </w:r>
    </w:p>
    <w:p>
      <w:pPr>
        <w:spacing w:after="140" w:before="0"/>
        <w:jc w:val="left"/>
      </w:pPr>
      <w:r>
        <w:rPr>
          <w:rFonts w:ascii="Aptos" w:cs="Aptos" w:eastAsia="Aptos" w:hAnsi="Aptos"/>
          <w:b w:val="false"/>
          <w:bCs w:val="false"/>
          <w:i w:val="false"/>
          <w:iCs w:val="false"/>
          <w:color w:val="000000"/>
          <w:sz w:val="24"/>
          <w:szCs w:val="24"/>
        </w:rPr>
        <w:t xml:space="preserve">Microsoft Sentinel (SIEM) and CrowdStrike Falcon (EDR) are both deployed and technically capable. This is a genuine strength. The assessment found a significant procedural gap: neither tool is operating against a documented coverage standard, and neither has a formal alert rule review cadence.</w:t>
      </w:r>
    </w:p>
    <w:p>
      <w:pPr>
        <w:spacing w:after="140" w:before="0"/>
        <w:jc w:val="left"/>
      </w:pPr>
      <w:r>
        <w:rPr>
          <w:rFonts w:ascii="Aptos" w:cs="Aptos" w:eastAsia="Aptos" w:hAnsi="Aptos"/>
          <w:b w:val="false"/>
          <w:bCs w:val="false"/>
          <w:i w:val="false"/>
          <w:iCs w:val="false"/>
          <w:color w:val="000000"/>
          <w:sz w:val="24"/>
          <w:szCs w:val="24"/>
        </w:rPr>
        <w:t xml:space="preserve">The practical consequence: MediSync has tools that could detect most relevant attack scenarios, but cannot demonstrate to an auditor — or to the CISO after an incident — that the tools were configured to catch the specific threats they face. This is the gap behind risk R-014 (monitoring gap) in ISMS-PLN-004.</w:t>
      </w:r>
    </w:p>
    <w:p>
      <w:pPr>
        <w:spacing w:after="140" w:before="0"/>
        <w:jc w:val="left"/>
      </w:pPr>
      <w:r>
        <w:rPr>
          <w:rFonts w:ascii="Aptos" w:cs="Aptos" w:eastAsia="Aptos" w:hAnsi="Aptos"/>
          <w:b w:val="false"/>
          <w:bCs w:val="false"/>
          <w:i w:val="false"/>
          <w:iCs w:val="false"/>
          <w:color w:val="000000"/>
          <w:sz w:val="24"/>
          <w:szCs w:val="24"/>
        </w:rPr>
        <w:t xml:space="preserve">Tenable Nessus (SH-PLAT-010) is deployed for vulnerability scanning but has no documented scan schedule. Findings from scans are not consistently tracked. The vulnerability management gap (Gap G-15 in ISMS-INI-012) is confirmed by this assessment.</w:t>
      </w:r>
    </w:p>
    <w:p>
      <w:pPr>
        <w:pStyle w:val="Heading2"/>
        <w:spacing w:after="100" w:before="200"/>
      </w:pPr>
      <w:r>
        <w:rPr>
          <w:rFonts w:ascii="Aptos" w:cs="Aptos" w:eastAsia="Aptos" w:hAnsi="Aptos"/>
          <w:b/>
          <w:bCs/>
          <w:i w:val="false"/>
          <w:iCs w:val="false"/>
          <w:color w:val="000000"/>
          <w:sz w:val="32"/>
          <w:szCs w:val="32"/>
        </w:rPr>
        <w:t xml:space="preserve">4.5 Backup and DR (SH-PLAT-011 and SH-PLAT-012)</w:t>
      </w:r>
    </w:p>
    <w:p>
      <w:pPr>
        <w:spacing w:after="140" w:before="0"/>
        <w:jc w:val="left"/>
      </w:pPr>
      <w:r>
        <w:rPr>
          <w:rFonts w:ascii="Aptos" w:cs="Aptos" w:eastAsia="Aptos" w:hAnsi="Aptos"/>
          <w:b w:val="false"/>
          <w:bCs w:val="false"/>
          <w:i w:val="false"/>
          <w:iCs w:val="false"/>
          <w:color w:val="000000"/>
          <w:sz w:val="24"/>
          <w:szCs w:val="24"/>
        </w:rPr>
        <w:t xml:space="preserve">Regional backups are operational and encrypted. India backups in AWS ap-south-1, UAE in Azure UAE North, both held by VaultArchive DR Services. Key findings: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Backups are running and regionally appropriate — this is confirmed and is an existing control strength.</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Backup immutability: NOT CONFIRMED. AWS S3 Object Lock and Azure Immutable Blob Storage configurations have not been verified. If backups are not immutable, a ransomware attack could encrypt them alongside production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VaultArchive security assessment: NOT COMPLETED. VaultArchive has the most privileged access of any third party and has never been formally security-assessed. This is the highest-priority vendor risk in the register (R-008).</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End-to-end DR: NEVER TESTED. MediSync does not know its actual RTO under a real failure scenario. This is risk R-007.</w:t>
      </w:r>
    </w:p>
    <w:p>
      <w:pPr>
        <w:spacing w:after="140" w:before="0"/>
        <w:jc w:val="left"/>
      </w:pPr>
      <w:r>
        <w:rPr>
          <w:rFonts w:ascii="Aptos" w:cs="Aptos" w:eastAsia="Aptos" w:hAnsi="Aptos"/>
          <w:b w:val="false"/>
          <w:bCs w:val="false"/>
          <w:i w:val="false"/>
          <w:iCs w:val="false"/>
          <w:color w:val="000000"/>
          <w:sz w:val="24"/>
          <w:szCs w:val="24"/>
        </w:rPr>
        <w:t xml:space="preserve">The backup infrastructure is a major risk concentration: it is technically functional, but its security posture is unverified and its reliability under a real recovery scenario is unknown.</w:t>
      </w:r>
    </w:p>
    <w:p>
      <w:pPr>
        <w:pStyle w:val="Heading2"/>
        <w:spacing w:after="100" w:before="200"/>
      </w:pPr>
      <w:r>
        <w:rPr>
          <w:rFonts w:ascii="Aptos" w:cs="Aptos" w:eastAsia="Aptos" w:hAnsi="Aptos"/>
          <w:b/>
          <w:bCs/>
          <w:i w:val="false"/>
          <w:iCs w:val="false"/>
          <w:color w:val="000000"/>
          <w:sz w:val="32"/>
          <w:szCs w:val="32"/>
        </w:rPr>
        <w:t xml:space="preserve">4.6 Network Infrastructure (SH-PLAT-013 and SH-PLAT-014)</w:t>
      </w:r>
    </w:p>
    <w:p>
      <w:pPr>
        <w:spacing w:after="140" w:before="0"/>
        <w:jc w:val="left"/>
      </w:pPr>
      <w:r>
        <w:rPr>
          <w:rFonts w:ascii="Aptos" w:cs="Aptos" w:eastAsia="Aptos" w:hAnsi="Aptos"/>
          <w:b w:val="false"/>
          <w:bCs w:val="false"/>
          <w:i w:val="false"/>
          <w:iCs w:val="false"/>
          <w:color w:val="000000"/>
          <w:sz w:val="24"/>
          <w:szCs w:val="24"/>
        </w:rPr>
        <w:t xml:space="preserve">Palo Alto NGFW segmentation between public, application and data tiers is one of MediSync's strongest technical controls. The data tier is not directly internet-accessible under any current configuration. GlobalProtect VPN enforces endpoint compliance checks — unenrolled personal devices cannot reach production systems.</w:t>
      </w:r>
    </w:p>
    <w:p>
      <w:pPr>
        <w:spacing w:after="140" w:before="0"/>
        <w:jc w:val="left"/>
      </w:pPr>
      <w:r>
        <w:rPr>
          <w:rFonts w:ascii="Aptos" w:cs="Aptos" w:eastAsia="Aptos" w:hAnsi="Aptos"/>
          <w:b w:val="false"/>
          <w:bCs w:val="false"/>
          <w:i w:val="false"/>
          <w:iCs w:val="false"/>
          <w:color w:val="000000"/>
          <w:sz w:val="24"/>
          <w:szCs w:val="24"/>
        </w:rPr>
        <w:t xml:space="preserve">Assessment findings: network controls are largely fully effective. The gap is documentation — the firewall rule set is not reviewed against a defined security standard, and configuration changes are not subject to a documented change review process. This creates a risk that a change could degrade the segmentation without being caught. This is addressed by R-003 (cloud misconfiguration) and the change management procedure (ISMS-PLN-009).</w:t>
      </w:r>
    </w:p>
    <w:p>
      <w:pPr>
        <w:pStyle w:val="Heading2"/>
        <w:spacing w:after="100" w:before="200"/>
      </w:pPr>
      <w:r>
        <w:rPr>
          <w:rFonts w:ascii="Aptos" w:cs="Aptos" w:eastAsia="Aptos" w:hAnsi="Aptos"/>
          <w:b/>
          <w:bCs/>
          <w:i w:val="false"/>
          <w:iCs w:val="false"/>
          <w:color w:val="000000"/>
          <w:sz w:val="32"/>
          <w:szCs w:val="32"/>
        </w:rPr>
        <w:t xml:space="preserve">4.7 Container Platform (SH-PLAT-015)</w:t>
      </w:r>
    </w:p>
    <w:p>
      <w:pPr>
        <w:spacing w:after="140" w:before="0"/>
        <w:jc w:val="left"/>
      </w:pPr>
      <w:r>
        <w:rPr>
          <w:rFonts w:ascii="Aptos" w:cs="Aptos" w:eastAsia="Aptos" w:hAnsi="Aptos"/>
          <w:b w:val="false"/>
          <w:bCs w:val="false"/>
          <w:i w:val="false"/>
          <w:iCs w:val="false"/>
          <w:color w:val="000000"/>
          <w:sz w:val="24"/>
          <w:szCs w:val="24"/>
        </w:rPr>
        <w:t xml:space="preserve">All eight products run in Kubernetes containers. The Kubernetes configuration has never been formally reviewed against a security baseline. No documented hardening standard exists. The CISO confirmed in the assessment workshop that secrets management in the containerised environment relies on developer practice rather than a formal policy.</w:t>
      </w:r>
    </w:p>
    <w:p>
      <w:pPr>
        <w:spacing w:after="140" w:before="0"/>
        <w:jc w:val="left"/>
      </w:pPr>
      <w:r>
        <w:rPr>
          <w:rFonts w:ascii="Aptos" w:cs="Aptos" w:eastAsia="Aptos" w:hAnsi="Aptos"/>
          <w:b w:val="false"/>
          <w:bCs w:val="false"/>
          <w:i w:val="false"/>
          <w:iCs w:val="false"/>
          <w:color w:val="000000"/>
          <w:sz w:val="24"/>
          <w:szCs w:val="24"/>
        </w:rPr>
        <w:t xml:space="preserve">Risk R-011 (Kubernetes misconfiguration) in ISMS-PLN-004 captures this finding. The blast radius of a Kubernetes security failure is significant: cross-container access within the cluster could allow lateral movement between products that are supposed to be isolated at the application layer.</w:t>
      </w:r>
    </w:p>
    <w:p>
      <w:pPr>
        <w:pStyle w:val="Heading1"/>
        <w:spacing w:after="120" w:before="300"/>
      </w:pPr>
      <w:r>
        <w:rPr>
          <w:rFonts w:ascii="Aptos" w:cs="Aptos" w:eastAsia="Aptos" w:hAnsi="Aptos"/>
          <w:b/>
          <w:bCs/>
          <w:i w:val="false"/>
          <w:iCs w:val="false"/>
          <w:color w:val="000000"/>
          <w:sz w:val="36"/>
          <w:szCs w:val="36"/>
        </w:rPr>
        <w:t xml:space="preserve">5. Product and Data Assets — Assessment Findings</w:t>
      </w:r>
    </w:p>
    <w:p>
      <w:pPr>
        <w:pStyle w:val="Heading2"/>
        <w:spacing w:after="100" w:before="200"/>
      </w:pPr>
      <w:r>
        <w:rPr>
          <w:rFonts w:ascii="Aptos" w:cs="Aptos" w:eastAsia="Aptos" w:hAnsi="Aptos"/>
          <w:b/>
          <w:bCs/>
          <w:i w:val="false"/>
          <w:iCs w:val="false"/>
          <w:color w:val="000000"/>
          <w:sz w:val="32"/>
          <w:szCs w:val="32"/>
        </w:rPr>
        <w:t xml:space="preserve">5.1 Patient clinical data (DA-001 to DA-005)</w:t>
      </w:r>
    </w:p>
    <w:p>
      <w:pPr>
        <w:spacing w:after="140" w:before="0"/>
        <w:jc w:val="left"/>
      </w:pPr>
      <w:r>
        <w:rPr>
          <w:rFonts w:ascii="Aptos" w:cs="Aptos" w:eastAsia="Aptos" w:hAnsi="Aptos"/>
          <w:b w:val="false"/>
          <w:bCs w:val="false"/>
          <w:i w:val="false"/>
          <w:iCs w:val="false"/>
          <w:color w:val="000000"/>
          <w:sz w:val="24"/>
          <w:szCs w:val="24"/>
        </w:rPr>
        <w:t xml:space="preserve">Patient health records (DA-001), patient identity data (DA-002), diagnostic reports (DA-003), prescription records (DA-004), and insurance claims data (DA-005) are all Restricted-classified. The assessment confirmed that the primary risks to these assets come from the shared platform layer controls rather than from the data assets themselves — which is expected and appropriate given the architectural design.</w:t>
      </w:r>
    </w:p>
    <w:p>
      <w:pPr>
        <w:spacing w:after="140" w:before="0"/>
        <w:jc w:val="left"/>
      </w:pPr>
      <w:r>
        <w:rPr>
          <w:rFonts w:ascii="Aptos" w:cs="Aptos" w:eastAsia="Aptos" w:hAnsi="Aptos"/>
          <w:b w:val="false"/>
          <w:bCs w:val="false"/>
          <w:i w:val="false"/>
          <w:iCs w:val="false"/>
          <w:color w:val="000000"/>
          <w:sz w:val="24"/>
          <w:szCs w:val="24"/>
        </w:rPr>
        <w:t xml:space="preserve">The specific data-layer risks are: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Access rights: stale hospital-facing admin accounts can reach patient records (R-004). The data itself is well-encrypted but an authorised-but-stale account can read it without decryption.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Test environment contamination: ISMS-LDR-001 Section 5.3 prohibits real patient data in dev/staging. The workshop confirmed this is being followed — environment separation is enforced via separate AWS accounts and Azure subscriptions. This is a confirmed strength.</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Data subject rights: the deletion mechanism for customer-instructed erasure under the DPDP Act has not been confirmed technically per product. This is a compliance gap (Gap G-20 in ISMS-INI-012), not a risk to the data in its current state.</w:t>
      </w:r>
    </w:p>
    <w:p>
      <w:pPr>
        <w:pStyle w:val="Heading2"/>
        <w:spacing w:after="100" w:before="200"/>
      </w:pPr>
      <w:r>
        <w:rPr>
          <w:rFonts w:ascii="Aptos" w:cs="Aptos" w:eastAsia="Aptos" w:hAnsi="Aptos"/>
          <w:b/>
          <w:bCs/>
          <w:i w:val="false"/>
          <w:iCs w:val="false"/>
          <w:color w:val="000000"/>
          <w:sz w:val="32"/>
          <w:szCs w:val="32"/>
        </w:rPr>
        <w:t xml:space="preserve">5.2 Products — Software (PR-001 to PR-008)</w:t>
      </w:r>
    </w:p>
    <w:p>
      <w:pPr>
        <w:spacing w:after="140" w:before="0"/>
        <w:jc w:val="left"/>
      </w:pPr>
      <w:r>
        <w:rPr>
          <w:rFonts w:ascii="Aptos" w:cs="Aptos" w:eastAsia="Aptos" w:hAnsi="Aptos"/>
          <w:b w:val="false"/>
          <w:bCs w:val="false"/>
          <w:i w:val="false"/>
          <w:iCs w:val="false"/>
          <w:color w:val="000000"/>
          <w:sz w:val="24"/>
          <w:szCs w:val="24"/>
        </w:rPr>
        <w:t xml:space="preserve">All eight products are Confidential-classified at the software level (the data they process is Restricted). The product-layer assessment focused on the software supply chain — the path from code to production.</w:t>
      </w:r>
    </w:p>
    <w:p>
      <w:pPr>
        <w:spacing w:after="140" w:before="0"/>
        <w:jc w:val="left"/>
      </w:pPr>
      <w:r>
        <w:rPr>
          <w:rFonts w:ascii="Aptos" w:cs="Aptos" w:eastAsia="Aptos" w:hAnsi="Aptos"/>
          <w:b w:val="false"/>
          <w:bCs w:val="false"/>
          <w:i w:val="false"/>
          <w:iCs w:val="false"/>
          <w:color w:val="000000"/>
          <w:sz w:val="24"/>
          <w:szCs w:val="24"/>
        </w:rPr>
        <w:t xml:space="preserve">Key findings: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GitHub branch protection and mandatory code review are fully implemented across all eight product repositories. This is a genuine strength — confirmed in the GitHub configuration review during the workshop.</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Pipeline security scanning is present in the CI/CD pipeline but is not documented as a required step. If a developer bypassed or skipped the scanning step, this would not be detected.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Dependency vulnerability scanning: no automated scanning is in place. A compromised third-party library could be introduced through any of the eight products' dependency trees.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No penetration test has been conducted in the last 12 months. The running application, as it would appear to an external attacker, has not been tested.</w:t>
      </w:r>
    </w:p>
    <w:p>
      <w:pPr>
        <w:spacing w:after="140" w:before="0"/>
        <w:jc w:val="left"/>
      </w:pPr>
      <w:r>
        <w:rPr>
          <w:rFonts w:ascii="Aptos" w:cs="Aptos" w:eastAsia="Aptos" w:hAnsi="Aptos"/>
          <w:b w:val="false"/>
          <w:bCs w:val="false"/>
          <w:i w:val="false"/>
          <w:iCs w:val="false"/>
          <w:color w:val="000000"/>
          <w:sz w:val="24"/>
          <w:szCs w:val="24"/>
        </w:rPr>
        <w:t xml:space="preserve">These findings are captured in risk R-005 (CI/CD supply chain) in ISMS-PLN-004.</w:t>
      </w:r>
    </w:p>
    <w:p>
      <w:pPr>
        <w:pStyle w:val="Heading2"/>
        <w:spacing w:after="100" w:before="200"/>
      </w:pPr>
      <w:r>
        <w:rPr>
          <w:rFonts w:ascii="Aptos" w:cs="Aptos" w:eastAsia="Aptos" w:hAnsi="Aptos"/>
          <w:b/>
          <w:bCs/>
          <w:i w:val="false"/>
          <w:iCs w:val="false"/>
          <w:color w:val="000000"/>
          <w:sz w:val="32"/>
          <w:szCs w:val="32"/>
        </w:rPr>
        <w:t xml:space="preserve">5.3 Source code and CI/CD (SC-001 and SC-002)</w:t>
      </w:r>
    </w:p>
    <w:p>
      <w:pPr>
        <w:spacing w:after="140" w:before="0"/>
        <w:jc w:val="left"/>
      </w:pPr>
      <w:r>
        <w:rPr>
          <w:rFonts w:ascii="Aptos" w:cs="Aptos" w:eastAsia="Aptos" w:hAnsi="Aptos"/>
          <w:b w:val="false"/>
          <w:bCs w:val="false"/>
          <w:i w:val="false"/>
          <w:iCs w:val="false"/>
          <w:color w:val="000000"/>
          <w:sz w:val="24"/>
          <w:szCs w:val="24"/>
        </w:rPr>
        <w:t xml:space="preserve">GitHub Enterprise (SC-001) holds all product source code plus infrastructure-as-code. The CI/CD pipeline (SC-002) is the path from approved code to production deployment. The workshop confirmed: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Repository access controlled via Entra ID groups — the same identity backbone as all other MediSync systems. Fully effective.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CI/CD pipeline secrets: pipeline secrets are stored in GitHub Actions environment secrets. If the GitHub repository were compromised, pipeline secrets could be accessed. These secrets have access to production deployment systems.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Infrastructure-as-code (Terraform, CloudFormation) is stored in the same repositories as application code. A misconfigured infrastructure-as-code change going through the pipeline would be caught by code review — but only if the reviewer understood the infrastructure implications.</w:t>
      </w:r>
    </w:p>
    <w:p>
      <w:pPr>
        <w:spacing w:after="140" w:before="0"/>
        <w:jc w:val="left"/>
      </w:pPr>
      <w:r>
        <w:rPr>
          <w:rFonts w:ascii="Aptos" w:cs="Aptos" w:eastAsia="Aptos" w:hAnsi="Aptos"/>
          <w:b w:val="false"/>
          <w:bCs w:val="false"/>
          <w:i w:val="false"/>
          <w:iCs w:val="false"/>
          <w:color w:val="000000"/>
          <w:sz w:val="24"/>
          <w:szCs w:val="24"/>
        </w:rPr>
        <w:t xml:space="preserve">Risk R-012 (API key and secret leakage) addresses the pipeline secrets exposure.</w:t>
      </w:r>
    </w:p>
    <w:p>
      <w:pPr>
        <w:pStyle w:val="Heading2"/>
        <w:spacing w:after="100" w:before="200"/>
      </w:pPr>
      <w:r>
        <w:rPr>
          <w:rFonts w:ascii="Aptos" w:cs="Aptos" w:eastAsia="Aptos" w:hAnsi="Aptos"/>
          <w:b/>
          <w:bCs/>
          <w:i w:val="false"/>
          <w:iCs w:val="false"/>
          <w:color w:val="000000"/>
          <w:sz w:val="32"/>
          <w:szCs w:val="32"/>
        </w:rPr>
        <w:t xml:space="preserve">5.4 Encryption keys (EK-001 and EK-002)</w:t>
      </w:r>
    </w:p>
    <w:p>
      <w:pPr>
        <w:spacing w:after="140" w:before="0"/>
        <w:jc w:val="left"/>
      </w:pPr>
      <w:r>
        <w:rPr>
          <w:rFonts w:ascii="Aptos" w:cs="Aptos" w:eastAsia="Aptos" w:hAnsi="Aptos"/>
          <w:b w:val="false"/>
          <w:bCs w:val="false"/>
          <w:i w:val="false"/>
          <w:iCs w:val="false"/>
          <w:color w:val="000000"/>
          <w:sz w:val="24"/>
          <w:szCs w:val="24"/>
        </w:rPr>
        <w:t xml:space="preserve">AWS KMS (India, EK-001) and Azure Key Vault (UAE, EK-002) hold the customer-managed encryption keys for all patient data at rest. These are Restricted-classified. The compromise of encryption keys would render the encryption of patient data ineffective — an attacker with both the encrypted data and the keys would have plaintext access.</w:t>
      </w:r>
    </w:p>
    <w:p>
      <w:pPr>
        <w:spacing w:after="140" w:before="0"/>
        <w:jc w:val="left"/>
      </w:pPr>
      <w:r>
        <w:rPr>
          <w:rFonts w:ascii="Aptos" w:cs="Aptos" w:eastAsia="Aptos" w:hAnsi="Aptos"/>
          <w:b w:val="false"/>
          <w:bCs w:val="false"/>
          <w:i w:val="false"/>
          <w:iCs w:val="false"/>
          <w:color w:val="000000"/>
          <w:sz w:val="24"/>
          <w:szCs w:val="24"/>
        </w:rPr>
        <w:t xml:space="preserve">Assessment findings: the key management services themselves are fully effective — AWS KMS and Azure Key Vault are industry-standard, hardened key management solutions. The gap is procedural: no key management procedure exists, and no formal key rotation schedule has been defined. Without a rotation schedule, keys that have been in use since MediSync's cloud migration may never have been rotated. Risk R-012 partially addresses this; the key management procedure in ISMS-OPS-001 (Phase 5) closes it completely.</w:t>
      </w:r>
    </w:p>
    <w:p>
      <w:pPr>
        <w:pStyle w:val="Heading1"/>
        <w:spacing w:after="120" w:before="300"/>
      </w:pPr>
      <w:r>
        <w:rPr>
          <w:rFonts w:ascii="Aptos" w:cs="Aptos" w:eastAsia="Aptos" w:hAnsi="Aptos"/>
          <w:b/>
          <w:bCs/>
          <w:i w:val="false"/>
          <w:iCs w:val="false"/>
          <w:color w:val="000000"/>
          <w:sz w:val="36"/>
          <w:szCs w:val="36"/>
        </w:rPr>
        <w:t xml:space="preserve">6. Supporting Assets — Assessment Findings</w:t>
      </w:r>
    </w:p>
    <w:p>
      <w:pPr>
        <w:pStyle w:val="Heading2"/>
        <w:spacing w:after="100" w:before="200"/>
      </w:pPr>
      <w:r>
        <w:rPr>
          <w:rFonts w:ascii="Aptos" w:cs="Aptos" w:eastAsia="Aptos" w:hAnsi="Aptos"/>
          <w:b/>
          <w:bCs/>
          <w:i w:val="false"/>
          <w:iCs w:val="false"/>
          <w:color w:val="000000"/>
          <w:sz w:val="32"/>
          <w:szCs w:val="32"/>
        </w:rPr>
        <w:t xml:space="preserve">6.1 Third-party vendors (TP-001 to TP-006)</w:t>
      </w:r>
    </w:p>
    <w:p>
      <w:pPr>
        <w:spacing w:after="140" w:before="0"/>
        <w:jc w:val="left"/>
      </w:pPr>
      <w:r>
        <w:rPr>
          <w:rFonts w:ascii="Aptos" w:cs="Aptos" w:eastAsia="Aptos" w:hAnsi="Aptos"/>
          <w:b w:val="false"/>
          <w:bCs w:val="false"/>
          <w:i w:val="false"/>
          <w:iCs w:val="false"/>
          <w:color w:val="000000"/>
          <w:sz w:val="24"/>
          <w:szCs w:val="24"/>
        </w:rPr>
        <w:t xml:space="preserve">The third-party assessment findings are the most significant in the supporting assets category. Three Tier 1 vendors have never been formally security-assessed: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VaultArchive (TP-002): holds encrypted backup archives for all customers in both regions. Never assessed. Most privileged external access of any third party. Risk R-008.</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SentinelWatch MSSP (TP-001): co-manages the SOC. Has read access to all SIEM data and alert configurations. Operates under a commercial agreement with no formal security schedule. Risk R-010.</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MedLink Gulf (TP-003): processes Restricted-classified UAE clinical data under a data processing agreement. Assessment status: DPA in place, but no formal security assessment conducted.</w:t>
      </w:r>
    </w:p>
    <w:p>
      <w:pPr>
        <w:spacing w:after="140" w:before="0"/>
        <w:jc w:val="left"/>
      </w:pPr>
      <w:r>
        <w:rPr>
          <w:rFonts w:ascii="Aptos" w:cs="Aptos" w:eastAsia="Aptos" w:hAnsi="Aptos"/>
          <w:b w:val="false"/>
          <w:bCs w:val="false"/>
          <w:i w:val="false"/>
          <w:iCs w:val="false"/>
          <w:color w:val="000000"/>
          <w:sz w:val="24"/>
          <w:szCs w:val="24"/>
        </w:rPr>
        <w:t xml:space="preserve">PulseMail (TP-004), PayBridge (TP-005) and TrustID (TP-006) are Tier 2/3 vendors. Not yet assessed. Risk R-019.</w:t>
      </w:r>
    </w:p>
    <w:p>
      <w:pPr>
        <w:spacing w:after="140" w:before="0"/>
        <w:jc w:val="left"/>
      </w:pPr>
      <w:r>
        <w:rPr>
          <w:rFonts w:ascii="Aptos" w:cs="Aptos" w:eastAsia="Aptos" w:hAnsi="Aptos"/>
          <w:b w:val="false"/>
          <w:bCs w:val="false"/>
          <w:i w:val="false"/>
          <w:iCs w:val="false"/>
          <w:color w:val="000000"/>
          <w:sz w:val="24"/>
          <w:szCs w:val="24"/>
        </w:rPr>
        <w:t xml:space="preserve">The pattern across all third-party vendors is consistent: commercial relationships exist, some have contractual protections, but none have been through a formal security assessment using a documented framework. This is the supplier relationship gap (Gap G-07 in ISMS-INI-012) confirmed by the asset-based assessment.</w:t>
      </w:r>
    </w:p>
    <w:p>
      <w:pPr>
        <w:pStyle w:val="Heading2"/>
        <w:spacing w:after="100" w:before="200"/>
      </w:pPr>
      <w:r>
        <w:rPr>
          <w:rFonts w:ascii="Aptos" w:cs="Aptos" w:eastAsia="Aptos" w:hAnsi="Aptos"/>
          <w:b/>
          <w:bCs/>
          <w:i w:val="false"/>
          <w:iCs w:val="false"/>
          <w:color w:val="000000"/>
          <w:sz w:val="32"/>
          <w:szCs w:val="32"/>
        </w:rPr>
        <w:t xml:space="preserve">6.2 Physical assets and offices (PH-001 to PH-005)</w:t>
      </w:r>
    </w:p>
    <w:p>
      <w:pPr>
        <w:spacing w:after="140" w:before="0"/>
        <w:jc w:val="left"/>
      </w:pPr>
      <w:r>
        <w:rPr>
          <w:rFonts w:ascii="Aptos" w:cs="Aptos" w:eastAsia="Aptos" w:hAnsi="Aptos"/>
          <w:b w:val="false"/>
          <w:bCs w:val="false"/>
          <w:i w:val="false"/>
          <w:iCs w:val="false"/>
          <w:color w:val="000000"/>
          <w:sz w:val="24"/>
          <w:szCs w:val="24"/>
        </w:rPr>
        <w:t xml:space="preserve">Physical controls exist at all four offices: access card systems, CCTV, and server room restricted access at Bengaluru. The assessment confirmed that these controls are in place but entirely undocumented — no physical security policy, no clean-desk procedure, no visitor management protocol.</w:t>
      </w:r>
    </w:p>
    <w:p>
      <w:pPr>
        <w:spacing w:after="140" w:before="0"/>
        <w:jc w:val="left"/>
      </w:pPr>
      <w:r>
        <w:rPr>
          <w:rFonts w:ascii="Aptos" w:cs="Aptos" w:eastAsia="Aptos" w:hAnsi="Aptos"/>
          <w:b w:val="false"/>
          <w:bCs w:val="false"/>
          <w:i w:val="false"/>
          <w:iCs w:val="false"/>
          <w:color w:val="000000"/>
          <w:sz w:val="24"/>
          <w:szCs w:val="24"/>
        </w:rPr>
        <w:t xml:space="preserve">The risk from physical assets is lower than from technical assets, given that production data is cloud-hosted and managed devices use full-disk encryption and MDM remote wipe. However, physical access to an unattended workstation still represents a path to logical access for the duration of an active session. Risk R-016 (physical intrusion / tailgating) captures this finding.</w:t>
      </w:r>
    </w:p>
    <w:p>
      <w:pPr>
        <w:pStyle w:val="Heading2"/>
        <w:spacing w:after="100" w:before="200"/>
      </w:pPr>
      <w:r>
        <w:rPr>
          <w:rFonts w:ascii="Aptos" w:cs="Aptos" w:eastAsia="Aptos" w:hAnsi="Aptos"/>
          <w:b/>
          <w:bCs/>
          <w:i w:val="false"/>
          <w:iCs w:val="false"/>
          <w:color w:val="000000"/>
          <w:sz w:val="32"/>
          <w:szCs w:val="32"/>
        </w:rPr>
        <w:t xml:space="preserve">6.3 Corporate data (CD-001 to CD-004)</w:t>
      </w:r>
    </w:p>
    <w:p>
      <w:pPr>
        <w:spacing w:after="140" w:before="0"/>
        <w:jc w:val="left"/>
      </w:pPr>
      <w:r>
        <w:rPr>
          <w:rFonts w:ascii="Aptos" w:cs="Aptos" w:eastAsia="Aptos" w:hAnsi="Aptos"/>
          <w:b w:val="false"/>
          <w:bCs w:val="false"/>
          <w:i w:val="false"/>
          <w:iCs w:val="false"/>
          <w:color w:val="000000"/>
          <w:sz w:val="24"/>
          <w:szCs w:val="24"/>
        </w:rPr>
        <w:t xml:space="preserve">Customer contracts (CD-001) hold the legal obligations that govern MediSync's breach notification timelines and right-to-audit clauses. ISMS document repository (CD-003) holds the ISMS evidence that will be presented to the certification body. Financial records (CD-004) are a confirmed target — the 2024 phishing near-miss attempted to redirect a Finance payment instruction.</w:t>
      </w:r>
    </w:p>
    <w:p>
      <w:pPr>
        <w:spacing w:after="140" w:before="0"/>
        <w:jc w:val="left"/>
      </w:pPr>
      <w:r>
        <w:rPr>
          <w:rFonts w:ascii="Aptos" w:cs="Aptos" w:eastAsia="Aptos" w:hAnsi="Aptos"/>
          <w:b w:val="false"/>
          <w:bCs w:val="false"/>
          <w:i w:val="false"/>
          <w:iCs w:val="false"/>
          <w:color w:val="000000"/>
          <w:sz w:val="24"/>
          <w:szCs w:val="24"/>
        </w:rPr>
        <w:t xml:space="preserve">No specific risks beyond those already captured in the register were identified for corporate data assets in the asset-based stream. The phishing and social engineering risks (R-002, R-013) cover the human-layer threat to these assets.</w:t>
      </w:r>
    </w:p>
    <w:p>
      <w:pPr>
        <w:pStyle w:val="Heading1"/>
        <w:spacing w:after="120" w:before="300"/>
      </w:pPr>
      <w:r>
        <w:rPr>
          <w:rFonts w:ascii="Aptos" w:cs="Aptos" w:eastAsia="Aptos" w:hAnsi="Aptos"/>
          <w:b/>
          <w:bCs/>
          <w:i w:val="false"/>
          <w:iCs w:val="false"/>
          <w:color w:val="000000"/>
          <w:sz w:val="36"/>
          <w:szCs w:val="36"/>
        </w:rPr>
        <w:t xml:space="preserve">7. Summary of Asset-Based Assessment Findings</w:t>
      </w:r>
    </w:p>
    <w:p>
      <w:pPr>
        <w:spacing w:after="140" w:before="0"/>
        <w:jc w:val="left"/>
      </w:pPr>
      <w:r>
        <w:rPr>
          <w:rFonts w:ascii="Aptos" w:cs="Aptos" w:eastAsia="Aptos" w:hAnsi="Aptos"/>
          <w:b w:val="false"/>
          <w:bCs w:val="false"/>
          <w:i w:val="false"/>
          <w:iCs w:val="false"/>
          <w:color w:val="000000"/>
          <w:sz w:val="24"/>
          <w:szCs w:val="24"/>
        </w:rPr>
        <w:t xml:space="preserve">The following table summarises the risks identified in the asset-based stream that were entered into ISMS-PLN-004. Risks from the scenario-based stream are documented in ISMS-PLN-011.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800"/>
        <w:gridCol w:w="3000"/>
        <w:gridCol w:w="1700"/>
        <w:gridCol w:w="18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Risk ID</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Key Assets</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Primary Threat</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Inherent
Rating</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Residual
Rating</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R-001</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SH-PLAT-004 API-GW; SH-PLAT-001 Entra ID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Shared platform cyberattack or supply-chain compromise</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R-003</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SH-PLAT-006/007 Data Tiers; all data assets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Cloud misconfiguration exposing patient data</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R-004</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SH-PLAT-001 Entra ID; DA-001 EHR; all Restricted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Stale admin access rights exploitation</w:t>
            </w:r>
          </w:p>
        </w:tc>
        <w:tc>
          <w:tcPr>
            <w:tcW w:type="dxa" w:w="17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8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R-005</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SC-001/002 CI-CD; all products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CI/CD supply-chain compromise</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R-007</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SH-PLAT-011/012 Backups; SH-PLAT-006/007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DR failure — unknown RTO; extended outage</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R-008</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TP-002 VaultArchive; SH-PLAT-011/012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VaultArchive breach — backup archive exposure</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R-010</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TP-001 SentinelWatch; SH-PLAT-008 Sentinel</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MSSP insider incident — SIEM data exposure</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R-011</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SH-PLAT-015 Kubernetes; all products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Kubernetes misconfiguration — privilege escalation</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R-012</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SH-PLAT-003 API keys; SC-001 GitHub</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API key or secret credential leakage</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R-014</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SH-PLAT-008 Sentinel; SH-PLAT-009 CrowdStrike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Monitoring gap — undetected threat</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R-015</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All products; all data assets</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Ransomware — production data encrypted</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R-016</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PH-001 to PH-004 offices; PH-005 endpoints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Physical intrusion / tailgating — device theft</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R-017</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All corporate systems</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Shadow IT — data via unsanctioned channels</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R-018</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Commercial pipeline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Certification absence — lost deals</w:t>
            </w:r>
          </w:p>
        </w:tc>
        <w:tc>
          <w:tcPr>
            <w:tcW w:type="dxa" w:w="17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R-019</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TP-004 to TP-006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Tier 2/3 vendor breach — contact/payment data</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R-020</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CD-002 HR; SH-PLAT-001 Entra ID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JML failure — stale accounts for departed staff</w:t>
            </w:r>
          </w:p>
        </w:tc>
        <w:tc>
          <w:tcPr>
            <w:tcW w:type="dxa" w:w="17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8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r>
    </w:tbl>
    <w:p>
      <w:pPr>
        <w:pStyle w:val="Heading1"/>
        <w:spacing w:after="120" w:before="300"/>
      </w:pPr>
      <w:r>
        <w:rPr>
          <w:rFonts w:ascii="Aptos" w:cs="Aptos" w:eastAsia="Aptos" w:hAnsi="Aptos"/>
          <w:b/>
          <w:bCs/>
          <w:i w:val="false"/>
          <w:iCs w:val="false"/>
          <w:color w:val="000000"/>
          <w:sz w:val="36"/>
          <w:szCs w:val="36"/>
        </w:rPr>
        <w:t xml:space="preserve">8. Control Strengths Confirmed by the Asset-Based Assessment</w:t>
      </w:r>
    </w:p>
    <w:p>
      <w:pPr>
        <w:spacing w:after="140" w:before="0"/>
        <w:jc w:val="left"/>
      </w:pPr>
      <w:r>
        <w:rPr>
          <w:rFonts w:ascii="Aptos" w:cs="Aptos" w:eastAsia="Aptos" w:hAnsi="Aptos"/>
          <w:b w:val="false"/>
          <w:bCs w:val="false"/>
          <w:i w:val="false"/>
          <w:iCs w:val="false"/>
          <w:color w:val="000000"/>
          <w:sz w:val="24"/>
          <w:szCs w:val="24"/>
        </w:rPr>
        <w:t xml:space="preserve">The following controls were confirmed as fully effective during the asset workshops. These are genuine strengths — they directly reduce inherent risk scores in ISMS-PLN-004 and should be evidenced and maintained as such.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evidence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via Microsoft Entra ID — all accounts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Conditional Access policy reviewed. MFA enforced for all internal and customer-facing accounts. Zero exceptions found. This is the most impactful single control in MediSync's security posture.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 — AWS KMS and Azure Key Vault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KMS configuration for ap-south-1 reviewed. Azure Key Vault for UAE North reviewed. PostgreSQL TDE confirmed. All Restricted data at rest is encrypted.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TLS enforcement at API-GW</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TLS 1.2+ enforced at the API gateway for all internal and external traffic. No unencrypted channels to the gateway confirmed.</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Network segmentation — Palo Alto NGFW (three tiers)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Firewall rule set reviewed. Data tier confirmed as not internet-accessible. Application tier separated from public tier. Segmentation is consistently applied.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EDR — all managed endpoints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deployment report reviewed. All ~460 managed corporate endpoints covered. Automatic isolation capability enabled. Real-time threat detection operational.</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branch protection — all product repositories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configuration reviewed across all eight product repositories. Branch protection enabled on all main branches. No direct push to main confirmed — code review is required.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residency enforcement — regional isolation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ap-south-1 and Azure UAE North account separation confirmed. India clinical data does not replicate to UAE. Data residency controls are architectural, not procedural.</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Environment separation — dev/staging/production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Separate AWS accounts and Azure subscriptions for each environment tier confirmed. Production data prohibited in dev/staging per ISMS-LDR-001 Section 5.3.</w:t>
            </w:r>
          </w:p>
        </w:tc>
      </w:tr>
    </w:tbl>
    <w:p>
      <w:pPr>
        <w:pStyle w:val="Heading1"/>
        <w:spacing w:after="120" w:before="300"/>
      </w:pPr>
      <w:r>
        <w:rPr>
          <w:rFonts w:ascii="Aptos" w:cs="Aptos" w:eastAsia="Aptos" w:hAnsi="Aptos"/>
          <w:b/>
          <w:bCs/>
          <w:i w:val="false"/>
          <w:iCs w:val="false"/>
          <w:color w:val="000000"/>
          <w:sz w:val="36"/>
          <w:szCs w:val="36"/>
        </w:rPr>
        <w:t xml:space="preserve">9. Conclusions</w:t>
      </w:r>
    </w:p>
    <w:p>
      <w:pPr>
        <w:spacing w:after="140" w:before="0"/>
        <w:jc w:val="left"/>
      </w:pPr>
      <w:r>
        <w:rPr>
          <w:rFonts w:ascii="Aptos" w:cs="Aptos" w:eastAsia="Aptos" w:hAnsi="Aptos"/>
          <w:b w:val="false"/>
          <w:bCs w:val="false"/>
          <w:i w:val="false"/>
          <w:iCs w:val="false"/>
          <w:color w:val="000000"/>
          <w:sz w:val="24"/>
          <w:szCs w:val="24"/>
        </w:rPr>
        <w:t xml:space="preserve">The asset-based risk assessment identified 16 risks that were entered into ISMS-PLN-004 (risks R-001 and R-003 through R-020). The remaining risks in ISMS-PLN-004 (R-002, R-006, R-009, R-013) were identified in the scenario-based stream and are documented in ISMS-PLN-011.</w:t>
      </w:r>
    </w:p>
    <w:p>
      <w:pPr>
        <w:spacing w:after="140" w:before="0"/>
        <w:jc w:val="left"/>
      </w:pPr>
      <w:r>
        <w:rPr>
          <w:rFonts w:ascii="Aptos" w:cs="Aptos" w:eastAsia="Aptos" w:hAnsi="Aptos"/>
          <w:b w:val="false"/>
          <w:bCs w:val="false"/>
          <w:i w:val="false"/>
          <w:iCs w:val="false"/>
          <w:color w:val="000000"/>
          <w:sz w:val="24"/>
          <w:szCs w:val="24"/>
        </w:rPr>
        <w:t xml:space="preserve">The overall picture from the asset-based assessment is consistent with the gap assessment findings in ISMS-INI-012: MediSync has strong technical controls at the platform and authentication layers, but significant procedural gaps in documentation, evidence collection, vendor management, and incident response. The risks that score highest are not in areas where MediSync has no controls — they are in areas where controls exist but are not documented, not tested, or not formally evidenced.</w:t>
      </w:r>
    </w:p>
    <w:p>
      <w:pPr>
        <w:spacing w:after="140" w:before="0"/>
        <w:jc w:val="left"/>
      </w:pPr>
      <w:r>
        <w:rPr>
          <w:rFonts w:ascii="Aptos" w:cs="Aptos" w:eastAsia="Aptos" w:hAnsi="Aptos"/>
          <w:b w:val="false"/>
          <w:bCs w:val="false"/>
          <w:i w:val="false"/>
          <w:iCs w:val="false"/>
          <w:color w:val="000000"/>
          <w:sz w:val="24"/>
          <w:szCs w:val="24"/>
        </w:rPr>
        <w:t xml:space="preserve">Three findings from the asset-based stream warrant particular attention before the Stage 1 certification audit: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VaultArchive has never been assessed. It holds backup archives for every customer in both regions. The assessment team was not able to find any evidence of a prior security review. This needs to be resolved before the DR test (O-08) can be executed.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Kubernetes has never been reviewed against a security baseline. Given that all eight products run in Kubernetes, a serious misconfiguration in the orchestration layer could affect all of them simultaneously. This is a shared-platform risk that the scenario-based assessment (PLN-011) also addresses.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Backup immutability has not been verified. In the event of a ransomware attack (risk R-015), the recovery capability depends entirely on whether the backups are write-protected. This verification should be the first technical action in the BCDR planning work.</w:t>
      </w:r>
    </w:p>
    <w:p>
      <w:pPr>
        <w:pStyle w:val="Heading1"/>
        <w:spacing w:after="120" w:before="300"/>
      </w:pPr>
      <w:r>
        <w:rPr>
          <w:rFonts w:ascii="Aptos" w:cs="Aptos" w:eastAsia="Aptos" w:hAnsi="Aptos"/>
          <w:b/>
          <w:bCs/>
          <w:i w:val="false"/>
          <w:iCs w:val="false"/>
          <w:color w:val="000000"/>
          <w:sz w:val="36"/>
          <w:szCs w:val="36"/>
        </w:rPr>
        <w:t xml:space="preserve">10. Approval</w:t>
      </w:r>
    </w:p>
    <w:p>
      <w:pPr>
        <w:spacing w:after="140" w:before="0"/>
        <w:jc w:val="left"/>
      </w:pPr>
      <w:r>
        <w:rPr>
          <w:rFonts w:ascii="Aptos" w:cs="Aptos" w:eastAsia="Aptos" w:hAnsi="Aptos"/>
          <w:b w:val="false"/>
          <w:bCs w:val="false"/>
          <w:i w:val="false"/>
          <w:iCs w:val="false"/>
          <w:color w:val="000000"/>
          <w:sz w:val="24"/>
          <w:szCs w:val="24"/>
        </w:rPr>
        <w:t xml:space="preserve">This report is approved as the asset-based stream baseline for ISMS-PLN-004. The findings and risk entries are locked from the date of approval. Any subsequent change to a risk entry requires a change record per ISMS-PLN-009.</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lead — findings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Infrastructure findings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findings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RESTRICTED — Senior Management and Audit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ISMS-PLN-010  |  Risk Assessment Report — Asset-Based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2026-08-25T10:51:47.948Z</dcterms:created>
  <dcterms:modified xsi:type="dcterms:W3CDTF">2026-08-25T10:51:47.962Z</dcterms:modified>
</cp:coreProperties>
</file>

<file path=docProps/custom.xml><?xml version="1.0" encoding="utf-8"?>
<Properties xmlns="http://schemas.openxmlformats.org/officeDocument/2006/custom-properties" xmlns:vt="http://schemas.openxmlformats.org/officeDocument/2006/docPropsVTypes"/>
</file>