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RISK ASSESSMENT REPORT — SCENARIO-BASED</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Report — Scenario-Based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ISMS-PLN-011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6.1.2 — Information Security Risk Assessment (Scenario-Based Stream)</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 (Clause 6), Item 11 of 12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Baseline Risk Assessment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 — Senior Management and Audit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Period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April – 25 May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Chief Information Security Officer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ISMS-PLN-010 Risk Assessment Report — Asset-Based; ISMS-PLN-004 Risk Register; ISMS-INI-008 PESTLE Analysis; ISMS-INI-012 Gap Assessment Report</w:t>
            </w:r>
          </w:p>
        </w:tc>
      </w:tr>
    </w:tbl>
    <w:p>
      <w:pPr>
        <w:spacing w:after="200" w:before="140"/>
      </w:pPr>
      <w:r>
        <w:rPr>
          <w:rFonts w:ascii="Aptos" w:cs="Aptos" w:eastAsia="Aptos" w:hAnsi="Aptos"/>
          <w:b w:val="false"/>
          <w:bCs w:val="false"/>
          <w:i/>
          <w:iCs/>
          <w:color w:val="000000"/>
          <w:sz w:val="24"/>
          <w:szCs w:val="24"/>
        </w:rPr>
        <w:t xml:space="preserve">This report documents the findings of the scenario-based stream of the MediSync Phase 3 risk assessment. Where the asset-based stream (ISMS-PLN-010) works from individual assets outward, this stream works from threat scenarios inward — identifying systemic and correlated-failure risks that span multiple assets and would be underweighted by a pure asset-based approach.</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May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six scenarios from PLN-001 methodology, PESTLE analysis, and confirmed incident history.</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May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Scenario narratives validated with SOC Manager and ISMS Manager. Near-miss scoring applied per PLN-001.</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Steering Committee as scenario-based stream baseline.</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The scenario-based risk assessment stream is required by ISMS-PLN-001 Section 2.2 specifically because MediSync's shared platform architecture creates correlated failure risks that a pure asset-based approach would miss. When all eight products share a single identity layer, API gateway and data tier, a risk to any shared component is simultaneously a risk to all products. The blast radius of a shared platform failure is not the impact on one asset — it is the combined impact across every asset that depends on it.</w:t>
      </w:r>
    </w:p>
    <w:p>
      <w:pPr>
        <w:spacing w:after="140" w:before="0"/>
        <w:jc w:val="left"/>
      </w:pPr>
      <w:r>
        <w:rPr>
          <w:rFonts w:ascii="Aptos" w:cs="Aptos" w:eastAsia="Aptos" w:hAnsi="Aptos"/>
          <w:b w:val="false"/>
          <w:bCs w:val="false"/>
          <w:i w:val="false"/>
          <w:iCs w:val="false"/>
          <w:color w:val="000000"/>
          <w:sz w:val="24"/>
          <w:szCs w:val="24"/>
        </w:rPr>
        <w:t xml:space="preserve">This stream assesses six threat scenarios drawn from three sources: the preliminary risk register in ISMS-INI-006, the confirmed incident history in ISMS-INI-012 (the 2024 phishing near-miss and cloud misconfiguration near-miss), and the external threat landscape in ISMS-INI-008. All six scenarios were assessed in workshops attended by the CISO, SOC Manager, Head of Cloud Infrastructure, and the Consulting Team.</w:t>
      </w:r>
    </w:p>
    <w:p>
      <w:pPr>
        <w:pStyle w:val="Heading1"/>
        <w:spacing w:after="120" w:before="300"/>
      </w:pPr>
      <w:r>
        <w:rPr>
          <w:rFonts w:ascii="Aptos" w:cs="Aptos" w:eastAsia="Aptos" w:hAnsi="Aptos"/>
          <w:b/>
          <w:bCs/>
          <w:i w:val="false"/>
          <w:iCs w:val="false"/>
          <w:color w:val="000000"/>
          <w:sz w:val="36"/>
          <w:szCs w:val="36"/>
        </w:rPr>
        <w:t xml:space="preserve">2. Scenario Selection Criteria</w:t>
      </w:r>
    </w:p>
    <w:p>
      <w:pPr>
        <w:spacing w:after="140" w:before="0"/>
        <w:jc w:val="left"/>
      </w:pPr>
      <w:r>
        <w:rPr>
          <w:rFonts w:ascii="Aptos" w:cs="Aptos" w:eastAsia="Aptos" w:hAnsi="Aptos"/>
          <w:b w:val="false"/>
          <w:bCs w:val="false"/>
          <w:i w:val="false"/>
          <w:iCs w:val="false"/>
          <w:color w:val="000000"/>
          <w:sz w:val="24"/>
          <w:szCs w:val="24"/>
        </w:rPr>
        <w:t xml:space="preserve">Scenarios were selected using three criteria from ISMS-PLN-001 Section 2.2:</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Systemic impact — the scenario affects multiple assets simultaneously, making the combined impact higher than any single asset would suggest.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Confirmed precedent — the scenario has occurred at MediSync as a near-miss, or has been demonstrated at a comparable healthcare SaaS organisation in recent threat intelligence.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Regulatory relevance — the scenario, if realised, would trigger one or more regulatory notification obligations in ISMS-INI-010 (CERT-In 6-hour, DPDP Act, UAE PDPL).</w:t>
      </w:r>
    </w:p>
    <w:p>
      <w:pPr>
        <w:pStyle w:val="Heading1"/>
        <w:spacing w:after="120" w:before="300"/>
      </w:pPr>
      <w:r>
        <w:rPr>
          <w:rFonts w:ascii="Aptos" w:cs="Aptos" w:eastAsia="Aptos" w:hAnsi="Aptos"/>
          <w:b/>
          <w:bCs/>
          <w:i w:val="false"/>
          <w:iCs w:val="false"/>
          <w:color w:val="000000"/>
          <w:sz w:val="36"/>
          <w:szCs w:val="36"/>
        </w:rPr>
        <w:t xml:space="preserve">3. Scenario Assessments</w:t>
      </w:r>
    </w:p>
    <w:p>
      <w:pPr>
        <w:pStyle w:val="Heading2"/>
        <w:spacing w:after="100" w:before="200"/>
      </w:pPr>
      <w:r>
        <w:rPr>
          <w:rFonts w:ascii="Aptos" w:cs="Aptos" w:eastAsia="Aptos" w:hAnsi="Aptos"/>
          <w:b/>
          <w:bCs/>
          <w:i w:val="false"/>
          <w:iCs w:val="false"/>
          <w:color w:val="000000"/>
          <w:sz w:val="32"/>
          <w:szCs w:val="32"/>
        </w:rPr>
        <w:t xml:space="preserve">Scenario 1: Targeted Phishing Attack — Credential Compromise (R-002)</w:t>
      </w:r>
    </w:p>
    <w:p>
      <w:pPr>
        <w:spacing w:after="140" w:before="0"/>
        <w:jc w:val="left"/>
      </w:pPr>
      <w:r>
        <w:rPr>
          <w:rFonts w:ascii="Aptos" w:cs="Aptos" w:eastAsia="Aptos" w:hAnsi="Aptos"/>
          <w:b w:val="false"/>
          <w:bCs w:val="false"/>
          <w:i w:val="false"/>
          <w:iCs w:val="false"/>
          <w:color w:val="000000"/>
          <w:sz w:val="24"/>
          <w:szCs w:val="24"/>
        </w:rPr>
        <w:t xml:space="preserve">Source: Confirmed near-miss — 2024 Finance phishing attack. Preliminary risk RISK-PRE-02 from ISMS-INI-006.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Parameter</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actor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financially motivated attacker. Healthcare financial functions are a well-documented target for business email compromise. The 2024 incident was specifically a payment instruction fraud attempt targeting Finance.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Attack vector</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Spear-phishing email to Finance or Customer Success staff. Either (a) credential theft leading to lateral movement toward patient data, or (b) direct payment instruction fraud.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exploited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training exists only for Engineering (~140 staff). Finance, Sales and Customer Success (~290 staff) have received no phishing awareness training. The 2024 attacker targeted Finance specifically — this gap is externally observable to a threat actor.</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CIA</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Confidentiality: patient data accessible from a compromised account with hospital-facing access. Integrity: fraudulent payment instruction or data modification. Availability: minimal direct impact.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Regulatory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 data access: CERT-In reportable; DPDP Act customer notification; UAE PDPL if UAE data accessed. Payment fraud only: no regulatory notification but significant financial and reputational damage.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Likely. Phishing attempts are actively occurring (confirmed near-miss 2024). MFA reduces post-compromise blast radius but does not prevent the phishing attempt. Finance staff are untrained.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Impact</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Severe. Successful credential compromise with patient data access triggers CERT-In notification and customer disclosure.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risk score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L4 × I4 = 16 — 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Existing controls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via Entra ID (fully effective — reduces post-compromise blast radius). CrowdStrike EDR (fully effective — detects post-compromise activity). No awareness training for non-Engineering staff (not effective for prevention).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partially effective — reduces likelihood by 1 (limits what compromised credentials can do, not the phishing attempt). L3 × I4 = 12 — MED-HIGH.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entry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R-002</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 all-staff awareness programme (O-06); Finance anti-phishing mandatory; phishing simulation within 60 days of launch (ISMS-PLN-005 R-002 treatment).</w:t>
            </w:r>
          </w:p>
        </w:tc>
      </w:tr>
    </w:tbl>
    <w:p>
      <w:pPr>
        <w:spacing w:after="140" w:before="60"/>
        <w:jc w:val="left"/>
      </w:pPr>
      <w:r>
        <w:rPr>
          <w:rFonts w:ascii="Aptos" w:cs="Aptos" w:eastAsia="Aptos" w:hAnsi="Aptos"/>
          <w:b w:val="false"/>
          <w:bCs w:val="false"/>
          <w:i/>
          <w:iCs/>
          <w:color w:val="000000"/>
          <w:sz w:val="24"/>
          <w:szCs w:val="24"/>
        </w:rPr>
        <w:t xml:space="preserve">Near-miss rule applied per ISMS-PLN-001 Section 5: minimum likelihood POSSIBLE (3). Score of 4 exceeds minimum and stands.</w:t>
      </w:r>
    </w:p>
    <w:p>
      <w:pPr>
        <w:pStyle w:val="Heading2"/>
        <w:spacing w:after="100" w:before="200"/>
      </w:pPr>
      <w:r>
        <w:rPr>
          <w:rFonts w:ascii="Aptos" w:cs="Aptos" w:eastAsia="Aptos" w:hAnsi="Aptos"/>
          <w:b/>
          <w:bCs/>
          <w:i w:val="false"/>
          <w:iCs w:val="false"/>
          <w:color w:val="000000"/>
          <w:sz w:val="32"/>
          <w:szCs w:val="32"/>
        </w:rPr>
        <w:t xml:space="preserve">Scenario 2: Cloud Misconfiguration Exposing Patient Data (R-003)</w:t>
      </w:r>
    </w:p>
    <w:p>
      <w:pPr>
        <w:spacing w:after="140" w:before="0"/>
        <w:jc w:val="left"/>
      </w:pPr>
      <w:r>
        <w:rPr>
          <w:rFonts w:ascii="Aptos" w:cs="Aptos" w:eastAsia="Aptos" w:hAnsi="Aptos"/>
          <w:b w:val="false"/>
          <w:bCs w:val="false"/>
          <w:i w:val="false"/>
          <w:iCs w:val="false"/>
          <w:color w:val="000000"/>
          <w:sz w:val="24"/>
          <w:szCs w:val="24"/>
        </w:rPr>
        <w:t xml:space="preserve">Source: Confirmed near-miss — 2024 storage bucket misconfiguration. Preliminary risk RISK-PRE-03 from ISMS-INI-006.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Parameter</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actor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 deliberate external actor. The 2024 incident was an accidental internal misconfiguration. The threat is human error in a complex cloud environment combined with the absence of automated configuration-drift detection.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Attack vector</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cloud configuration change (storage bucket access policy, IAM permission, security group rule, Kubernetes RBAC setting) is made without a security review and without automated alerting.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exploited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documented cloud configuration baseline. No configuration change review process. SIEM is not configured to alert on configuration drift. The 2024 incident was discovered by a developer who noticed unusual access logs — not by any monitoring system.</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CIA</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Confidentiality: patient data exposed at the access-control layer — encryption at rest remains intact but the access policy allows unauthorised reads. A storage-tier misconfiguration bypasses logical access controls without decrypting anything.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Regulatory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reportable (patient data involved). DPDP Act customer notification. UAE PDPL supervisory authority notification. All three regulatory notification tracks may trigger simultaneously. The 6-hour CERT-In clock starts from discovery.</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 Possible. Near-miss confirmed. Environment complexity has grown since 2024 — Kubernetes added to the shared platform, two cloud regions, growing product count.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Impact</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 Catastrophic. Patient data for multiple customers exposed: all three regulatory notification paths trigger; enterprise customer termination risk; regulatory enforcement risk.</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risk score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L3 × I5 = 15 — 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Existing controls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Encryption at rest — AWS KMS / Azure Key Vault (fully effective — data encrypted even if access control fails). NGFW segmentation (fully effective — data tier not internet-accessible at network layer). Tenable Nessus scanning (partially effective — no documented schedule or tracking).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Encryption reduces impact by 1 (encrypted data exposed at access-control layer limits consequence). L3 × I4 = 12 — MED-HIGH.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entry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R-003</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configuration baseline; Sentinel config-drift alert rules; documented Nessus scan schedule (ISMS-PLN-005 R-003 treatment).</w:t>
            </w:r>
          </w:p>
        </w:tc>
      </w:tr>
    </w:tbl>
    <w:p>
      <w:pPr>
        <w:spacing w:after="140" w:before="60"/>
        <w:jc w:val="left"/>
      </w:pPr>
      <w:r>
        <w:rPr>
          <w:rFonts w:ascii="Aptos" w:cs="Aptos" w:eastAsia="Aptos" w:hAnsi="Aptos"/>
          <w:b w:val="false"/>
          <w:bCs w:val="false"/>
          <w:i/>
          <w:iCs/>
          <w:color w:val="000000"/>
          <w:sz w:val="24"/>
          <w:szCs w:val="24"/>
        </w:rPr>
        <w:t xml:space="preserve">Near-miss rule applied: confirmed near-miss 2024. Minimum likelihood POSSIBLE (3). Score of 3 is the minimum and is applied.</w:t>
      </w:r>
    </w:p>
    <w:p>
      <w:pPr>
        <w:pStyle w:val="Heading2"/>
        <w:spacing w:after="100" w:before="200"/>
      </w:pPr>
      <w:r>
        <w:rPr>
          <w:rFonts w:ascii="Aptos" w:cs="Aptos" w:eastAsia="Aptos" w:hAnsi="Aptos"/>
          <w:b/>
          <w:bCs/>
          <w:i w:val="false"/>
          <w:iCs w:val="false"/>
          <w:color w:val="000000"/>
          <w:sz w:val="32"/>
          <w:szCs w:val="32"/>
        </w:rPr>
        <w:t xml:space="preserve">Scenario 3: Incident Response Failure — CERT-In 6-Hour Deadline Missed (R-006)</w:t>
      </w:r>
    </w:p>
    <w:p>
      <w:pPr>
        <w:spacing w:after="140" w:before="0"/>
        <w:jc w:val="left"/>
      </w:pPr>
      <w:r>
        <w:rPr>
          <w:rFonts w:ascii="Aptos" w:cs="Aptos" w:eastAsia="Aptos" w:hAnsi="Aptos"/>
          <w:b w:val="false"/>
          <w:bCs w:val="false"/>
          <w:i w:val="false"/>
          <w:iCs w:val="false"/>
          <w:color w:val="000000"/>
          <w:sz w:val="24"/>
          <w:szCs w:val="24"/>
        </w:rPr>
        <w:t xml:space="preserve">Source: ISMS-INI-012 Gap Assessment — both 2024 incidents handled by improvisation. Preliminary risk RISK-PRE-05 from ISMS-INI-006.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Parameter</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actor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an external actor. This is a process failure scenario. The risk materialises when a real security incident occurs and the IR process fails to execute, causing a regulatory notification deadline to be missed.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Trigger scenario</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security incident occurs — phishing credential theft, cloud misconfiguration, ransomware, or any other reportable event. The IR plan is consulted. The CERT-In 6-hour notification path is absent from the plan. The DPDP and UAE PDPL paths are also absent. Notification is delayed or missed.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exploited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current IR plan predates CERT-In Rules 2022. It contains no 6-hour notification path. It has never been tested. Both 2024 incidents were handled by Engineering improvisation. No documented procedure for classifying and escalating incidents to the CISO.</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CIA</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direct CIA impact from the process failure itself. The consequence is entirely regulatory.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Regulatory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enforcement action for failure to notify within 6 hours. DPDP Act enforcement for failure to notify the Data Fiduciary. UAE PDPL supervisory authority action. In a worst case, three simultaneous regulatory breaches arising from a single underlying incident.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 Possible. A reportable incident occurring and the notification being missed is plausible given the current state of the IR plan. Both 2024 incidents were not individually reportable — but a more serious incident would be.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Impact</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Severe. Regulatory enforcement action; financial penalty; mandatory remediation under regulatory supervision; customer trust damage.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risk score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L3 × I4 = 12 — 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Existing controls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EDR (fully effective — incident detection). SentinelWatch MSSP (partially effective — 24/7 monitoring, but escalation procedure undocumented). IR plan (NOT effective — out of date, untested, missing CERT-In and PDPL notification paths).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Controls reduce detection capability but NOT the notification process. IR plan rated Not Effective — zero adjustment for the notification dimension. L3 × I4 = 12 — HIGH (unchanged from inherent). This is the only risk in the entire register where residual equals inherent.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entry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1: rewrite ISMS-OPS-005 with all three notification tracks; tabletop exercise before M-05 (ISMS-PLN-005 R-006 treatment). Only HIGH residual risk in the register.</w:t>
            </w:r>
          </w:p>
        </w:tc>
      </w:tr>
    </w:tbl>
    <w:p>
      <w:pPr>
        <w:pStyle w:val="Heading2"/>
        <w:spacing w:after="100" w:before="200"/>
      </w:pPr>
      <w:r>
        <w:rPr>
          <w:rFonts w:ascii="Aptos" w:cs="Aptos" w:eastAsia="Aptos" w:hAnsi="Aptos"/>
          <w:b/>
          <w:bCs/>
          <w:i w:val="false"/>
          <w:iCs w:val="false"/>
          <w:color w:val="000000"/>
          <w:sz w:val="32"/>
          <w:szCs w:val="32"/>
        </w:rPr>
        <w:t xml:space="preserve">Scenario 4: Ransomware Attack — Production Encryption and Extended Outage (R-015)</w:t>
      </w:r>
    </w:p>
    <w:p>
      <w:pPr>
        <w:spacing w:after="140" w:before="0"/>
        <w:jc w:val="left"/>
      </w:pPr>
      <w:r>
        <w:rPr>
          <w:rFonts w:ascii="Aptos" w:cs="Aptos" w:eastAsia="Aptos" w:hAnsi="Aptos"/>
          <w:b w:val="false"/>
          <w:bCs w:val="false"/>
          <w:i w:val="false"/>
          <w:iCs w:val="false"/>
          <w:color w:val="000000"/>
          <w:sz w:val="24"/>
          <w:szCs w:val="24"/>
        </w:rPr>
        <w:t xml:space="preserve">Source: External threat landscape — ISMS-INI-008 Technology/Threat factor T-04. Healthcare is the highest-value ransomware sector globally.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Parameter</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actor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Ransomware criminal group — financially motivated. Hospital operations depend on SaaS continuity; this creates both urgency to pay and a credible threat of patient harm if systems are unavailable.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Attack vector</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Most common ransomware entry points: phishing-delivered malware (Scenario 1 is the likely entry); exploitation of unpatched vulnerability (Gap G-15 vulnerability management gap); supply-chain compromise. Once inside, ransomware performs lateral reconnaissance then executes encryption across multiple systems simultaneously.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exploited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critical vulnerability is backup infrastructure. If backups are not immutable (write-protected), ransomware that reaches backup storage can encrypt backups alongside production data. MediSync has not verified AWS S3 Object Lock or Azure Immutable Blob Storage configuration.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CIA</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Availability: complete production unavailability for all eight products in the affected region. Integrity: data encrypted or corrupted. Confidentiality: ransomware groups typically exfiltrate data before encrypting — patient data may be stolen before the encryption event.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Regulatory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exfiltration component: CERT-In 6-hour; DPDP Act notification; UAE PDPL notification. Extended outage: contractual SLA breach for all 14 enterprise customers. Potential patient safety implications if hospitals cannot access clinical systems.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 Possible. Healthcare ransomware is increasing. CrowdStrike EDR provides strong detection but the attack needs to succeed only once. The phishing gap (Scenario 1) is the most likely entry point.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Impact</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 Catastrophic. Complete production unavailability combined with potential data exfiltration. Enterprise customer terminations likely after extended outage.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risk score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L3 × I5 = 15 — 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Existing controls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Falcon EDR (fully effective — ransomware detection and automatic isolation). Regional backups operational (partially effective — backups exist and are encrypted but immutability is unverified).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EDR reduces likelihood by 1 (effective detection, not perfect prevention). Backup immutability unverified — no impact reduction from backup controls. L2 × I5 = 10 — MED-HIGH.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entry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R-015</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 immutability verification (immediate); ransomware scenario in DR test; SOC containment procedures documented (ISMS-PLN-005 R-015 treatment).</w:t>
            </w:r>
          </w:p>
        </w:tc>
      </w:tr>
    </w:tbl>
    <w:p>
      <w:pPr>
        <w:pStyle w:val="Heading2"/>
        <w:spacing w:after="100" w:before="200"/>
      </w:pPr>
      <w:r>
        <w:rPr>
          <w:rFonts w:ascii="Aptos" w:cs="Aptos" w:eastAsia="Aptos" w:hAnsi="Aptos"/>
          <w:b/>
          <w:bCs/>
          <w:i w:val="false"/>
          <w:iCs w:val="false"/>
          <w:color w:val="000000"/>
          <w:sz w:val="32"/>
          <w:szCs w:val="32"/>
        </w:rPr>
        <w:t xml:space="preserve">Scenario 5: Regulatory Non-Compliance — CERT-In or DPDP Act Investigation (R-009)</w:t>
      </w:r>
    </w:p>
    <w:p>
      <w:pPr>
        <w:spacing w:after="140" w:before="0"/>
        <w:jc w:val="left"/>
      </w:pPr>
      <w:r>
        <w:rPr>
          <w:rFonts w:ascii="Aptos" w:cs="Aptos" w:eastAsia="Aptos" w:hAnsi="Aptos"/>
          <w:b w:val="false"/>
          <w:bCs w:val="false"/>
          <w:i w:val="false"/>
          <w:iCs w:val="false"/>
          <w:color w:val="000000"/>
          <w:sz w:val="24"/>
          <w:szCs w:val="24"/>
        </w:rPr>
        <w:t xml:space="preserve">Source: ISMS-INI-010 Legal Register gaps IND-02, IND-05, CON-04, CON-05. Preliminary risk RISK-PRE-08 from ISMS-INI-006.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Parameter</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actor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 malicious actor. The risk materialises through regulatory inspection, customer right-to-audit, or a data principal exercising rights under DPDP Act or UAE PDPL.</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Trigger scenario</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customer conducts a right-to-audit and finds a missing DPA. Or a data principal submits an erasure request that cannot be demonstrated as executed. Or CERT-In requests 180-day logs that Sentinel retention settings cannot produce. Or a regulator notices DPAs are missing for active customer contracts.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exploited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of 22 customer DPAs still outstanding (OA-02, ISMS-LDR-009). CERT-In 6-hour notification path absent from any procedure. ABDM connectivity scope not fully confirmed. 180-day log retention not verified against Sentinel settings.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CIA</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direct CIA impact. Consequence is regulatory and commercial.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Regulatory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enforcement for absent notification procedures or insufficient log retention. DPDP Act enforcement for DPA gaps or failure to honour data principal rights. UAE PDPL enforcement for equivalent gaps. Financial penalties; mandatory remediation; potential processing suspension.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 Possible. The gaps are documented and exist. Both DPDP Act and UAE PDPL are being actively enforced in their respective jurisdictions.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Impact</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Severe. Regulatory enforcement combined with customer disclosure: contract termination, reputational damage. A processing suspension is operationally equivalent to a ransomware attack.</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risk score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L3 × I4 = 12 — MED-HIGH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Existing controls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 Legal Register established (partially effective — complete, gap actions in progress). DPO assessment complete for UAE PDPL (fully effective for that specific obligation only).</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Register is partially effective — reduces likelihood by 1. L2 × I4 = 8 — MED-HIGH.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entry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R-009</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DPA reviews 30 Apr 2026; document CERT-In path in ISMS-OPS-005; confirm ABDM scope; verify Sentinel log retention (ISMS-PLN-005 R-009 treatment — in progress).</w:t>
            </w:r>
          </w:p>
        </w:tc>
      </w:tr>
    </w:tbl>
    <w:p>
      <w:pPr>
        <w:pStyle w:val="Heading2"/>
        <w:spacing w:after="100" w:before="200"/>
      </w:pPr>
      <w:r>
        <w:rPr>
          <w:rFonts w:ascii="Aptos" w:cs="Aptos" w:eastAsia="Aptos" w:hAnsi="Aptos"/>
          <w:b/>
          <w:bCs/>
          <w:i w:val="false"/>
          <w:iCs w:val="false"/>
          <w:color w:val="000000"/>
          <w:sz w:val="32"/>
          <w:szCs w:val="32"/>
        </w:rPr>
        <w:t xml:space="preserve">Scenario 6: Social Engineering of Non-Engineering Staff (R-013)</w:t>
      </w:r>
    </w:p>
    <w:p>
      <w:pPr>
        <w:spacing w:after="140" w:before="0"/>
        <w:jc w:val="left"/>
      </w:pPr>
      <w:r>
        <w:rPr>
          <w:rFonts w:ascii="Aptos" w:cs="Aptos" w:eastAsia="Aptos" w:hAnsi="Aptos"/>
          <w:b w:val="false"/>
          <w:bCs w:val="false"/>
          <w:i w:val="false"/>
          <w:iCs w:val="false"/>
          <w:color w:val="000000"/>
          <w:sz w:val="24"/>
          <w:szCs w:val="24"/>
        </w:rPr>
        <w:t xml:space="preserve">Source: ISMS-INI-012 Gap Assessment — Gap G-10. Preliminary risk RISK-PRE-09 from ISMS-INI-006.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Parameter</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actor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attacker using social engineering — pretexting, voice phishing, or targeted spear-phishing. Sales and Customer Success are attractive targets because they have direct customer relationships and access to commercial data.</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Distinction from Scenario 1</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Scenario 1 (R-002) focuses on phishing leading to credential compromise or payment fraud with Finance as the primary target. This scenario focuses on the broader non-Engineering untrained population and includes non-email social engineering vectors.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exploited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Approximately 290 of 430 MediSync staff have received no security awareness training. Sales staff with access to enterprise customer contracts and pricing. Customer Success staff with access to customer operational data. No phishing simulation has ever been run against any department.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CIA</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Confidentiality: customer commercial data or patient data inadvertently disclosed to an attacker impersonating a customer or colleague. Integrity: unauthorised change made to customer configuration. Availability: minimal.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Consequence — Regulatory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patient data is disclosed: CERT-In and DPDP/PDPL notification. If commercial data only: no regulatory notification but contractual right-to-audit exercise and potential contract termination.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 Possible. 290 untrained staff is a large attack surface. Non-Engineering departments are less likely to recognise social engineering. The Finance incident 2024 targeted a non-Engineering function.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Impact</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 High. Limited compared to Scenario 1 because Customer Success and Sales have less direct access to Restricted patient data than a compromised hospital-facing admin account. Still significant for commercial data exposure.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Inherent risk score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L3 × I3 = 9 — MED-HIGH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Existing controls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(fully effective — reduces credential theft impact). No awareness training or phishing simulation for non-Engineering staff (not effective for prevention of the social engineering attempt itself).</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reduces likelihood by 1. L2 × I3 = 6 — MEDIUM.</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entry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R-013</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Covered by the same awareness programme as R-002 (ISMS-PLN-005 R-013). Phishing simulation results to be segmented by department to confirm non-Engineering coverage.</w:t>
            </w:r>
          </w:p>
        </w:tc>
      </w:tr>
    </w:tbl>
    <w:p>
      <w:pPr>
        <w:pStyle w:val="Heading1"/>
        <w:spacing w:after="120" w:before="300"/>
      </w:pPr>
      <w:r>
        <w:rPr>
          <w:rFonts w:ascii="Aptos" w:cs="Aptos" w:eastAsia="Aptos" w:hAnsi="Aptos"/>
          <w:b/>
          <w:bCs/>
          <w:i w:val="false"/>
          <w:iCs w:val="false"/>
          <w:color w:val="000000"/>
          <w:sz w:val="36"/>
          <w:szCs w:val="36"/>
        </w:rPr>
        <w:t xml:space="preserve">4. Cross-Stream Integration with the Asset-Based Assessment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Integration point</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How it was handled</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Risks in both streams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R-002, R-003, R-006 and R-015 were identified in both streams from different angles. The scenario-based assessment provides the end-to-end threat narrative; the asset-based provides specific asset and vulnerability detail. Both are reflected in the single ISMS-PLN-004 entry — neither is counted twice.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Shared platform correlated failure</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scenario-based stream captures scenarios where multiple shared platform assets (SH-PLAT series) fail simultaneously. This is the primary reason the scenario stream is required — the asset-based stream rates each shared platform component individually and understates the combined blast radius.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Preliminary risk register alignment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ten RISK-PRE entries from ISMS-INI-006 have been formally scored and entered in ISMS-PLN-004. RISK-PRE-01 through RISK-PRE-10 correspond to risks R-001 through R-009 and R-013 in the register.</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Near-miss rule application</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Applied consistently across both streams. The 2024 phishing near-miss appears in Scenarios 1, 3 and 4. The 2024 misconfiguration near-miss appears in Scenario 2. Both receive a minimum likelihood of POSSIBLE (3).</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Scoring consistency</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After both assessments were complete, the CISO and Consulting Team reviewed all 20 risk register entries. Two minor adjustments were made to align scores, documented in the risk register change log.</w:t>
            </w:r>
          </w:p>
        </w:tc>
      </w:tr>
    </w:tbl>
    <w:p>
      <w:pPr>
        <w:pStyle w:val="Heading1"/>
        <w:spacing w:after="120" w:before="300"/>
      </w:pPr>
      <w:r>
        <w:rPr>
          <w:rFonts w:ascii="Aptos" w:cs="Aptos" w:eastAsia="Aptos" w:hAnsi="Aptos"/>
          <w:b/>
          <w:bCs/>
          <w:i w:val="false"/>
          <w:iCs w:val="false"/>
          <w:color w:val="000000"/>
          <w:sz w:val="36"/>
          <w:szCs w:val="36"/>
        </w:rPr>
        <w:t xml:space="preserve">5. Observations Not Raised as Formal Risks</w:t>
      </w:r>
    </w:p>
    <w:p>
      <w:pPr>
        <w:spacing w:after="140" w:before="0"/>
        <w:jc w:val="left"/>
      </w:pPr>
      <w:r>
        <w:rPr>
          <w:rFonts w:ascii="Aptos" w:cs="Aptos" w:eastAsia="Aptos" w:hAnsi="Aptos"/>
          <w:b w:val="false"/>
          <w:bCs w:val="false"/>
          <w:i w:val="false"/>
          <w:iCs w:val="false"/>
          <w:color w:val="000000"/>
          <w:sz w:val="24"/>
          <w:szCs w:val="24"/>
        </w:rPr>
        <w:t xml:space="preserve">The following observations emerged from scenario workshops but were not entered as separate risk register entries — either below threshold or covered by existing entries: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Third-party impersonation: an attacker impersonating a MediSync support engineer to gain access to a hospital system. This is a customer-side risk outside the ISMS scope. MediSync should consider customer security communications guidance.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Disgruntled employee: discussed and concluded that R-004 (stale access rights) and R-020 (JML failure) together address the insider threat scenario. A separate entry would be redundant.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Natural disaster affecting a cloud region: AWS multi-AZ deployment provides adequate resilience for single-AZ failures. A full regional outage is an AWS responsibility under the shared responsibility model. R-007 covers MediSync's response to extended outage regardless of cause.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CrowdStrike supply-chain event (2024 global outage scenario): acknowledged, absorbed into R-005 (supply-chain compromise) at lower severity. CrowdStrike's staggered rollout and rollback capability noted.</w:t>
      </w:r>
    </w:p>
    <w:p>
      <w:pPr>
        <w:pStyle w:val="Heading1"/>
        <w:spacing w:after="120" w:before="300"/>
      </w:pPr>
      <w:r>
        <w:rPr>
          <w:rFonts w:ascii="Aptos" w:cs="Aptos" w:eastAsia="Aptos" w:hAnsi="Aptos"/>
          <w:b/>
          <w:bCs/>
          <w:i w:val="false"/>
          <w:iCs w:val="false"/>
          <w:color w:val="000000"/>
          <w:sz w:val="36"/>
          <w:szCs w:val="36"/>
        </w:rPr>
        <w:t xml:space="preserve">6. Summary of Scenario-Based Findings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3500"/>
        <w:gridCol w:w="700"/>
        <w:gridCol w:w="700"/>
        <w:gridCol w:w="1600"/>
        <w:gridCol w:w="1600"/>
        <w:gridCol w:w="1280"/>
      </w:tblGrid>
      <w:tr>
        <w:trPr>
          <w:cantSplit/>
          <w:tblHeader/>
        </w:trPr>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2"/>
                <w:szCs w:val="22"/>
              </w:rPr>
              <w:t xml:space="preserve">Risk ID</w:t>
            </w:r>
          </w:p>
        </w:tc>
        <w:tc>
          <w:tcPr>
            <w:tcW w:type="dxa" w:w="3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2"/>
                <w:szCs w:val="22"/>
              </w:rPr>
              <w:t xml:space="preserve">Scenario</w:t>
            </w:r>
          </w:p>
        </w:tc>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2"/>
                <w:szCs w:val="22"/>
              </w:rPr>
              <w:t xml:space="preserve">L</w:t>
            </w:r>
          </w:p>
        </w:tc>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2"/>
                <w:szCs w:val="22"/>
              </w:rPr>
              <w:t xml:space="preserve">I</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2"/>
                <w:szCs w:val="22"/>
              </w:rPr>
              <w:t xml:space="preserve">Inherent
Rating</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2"/>
                <w:szCs w:val="22"/>
              </w:rPr>
              <w:t xml:space="preserve">Residual
Rating</w:t>
            </w:r>
          </w:p>
        </w:tc>
        <w:tc>
          <w:tcPr>
            <w:tcW w:type="dxa" w:w="1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2"/>
                <w:szCs w:val="22"/>
              </w:rPr>
              <w:t xml:space="preserve">PLN-004</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R-002</w:t>
            </w:r>
          </w:p>
        </w:tc>
        <w:tc>
          <w:tcPr>
            <w:tcW w:type="dxa" w:w="3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Phishing → credential compromise / payment fraud</w:t>
            </w:r>
          </w:p>
        </w:tc>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4</w:t>
            </w:r>
          </w:p>
        </w:tc>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4</w:t>
            </w:r>
          </w:p>
        </w:tc>
        <w:tc>
          <w:tcPr>
            <w:tcW w:type="dxa" w:w="1600"/>
            <w:tcBorders>
              <w:top w:val="single" w:color="000000" w:sz="4"/>
              <w:left w:val="single" w:color="000000" w:sz="4"/>
              <w:bottom w:val="single" w:color="000000" w:sz="4"/>
              <w:right w:val="single" w:color="000000" w:sz="4"/>
            </w:tcBorders>
            <w:shd w:fill="FFC7CE"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0000"/>
                <w:sz w:val="24"/>
                <w:szCs w:val="24"/>
              </w:rPr>
              <w:t xml:space="preserve">HIGH</w:t>
            </w:r>
          </w:p>
        </w:tc>
        <w:tc>
          <w:tcPr>
            <w:tcW w:type="dxa" w:w="16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R-002</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R-003</w:t>
            </w:r>
          </w:p>
        </w:tc>
        <w:tc>
          <w:tcPr>
            <w:tcW w:type="dxa" w:w="3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Cloud misconfiguration → patient data exposure</w:t>
            </w:r>
          </w:p>
        </w:tc>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3</w:t>
            </w:r>
          </w:p>
        </w:tc>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5</w:t>
            </w:r>
          </w:p>
        </w:tc>
        <w:tc>
          <w:tcPr>
            <w:tcW w:type="dxa" w:w="1600"/>
            <w:tcBorders>
              <w:top w:val="single" w:color="000000" w:sz="4"/>
              <w:left w:val="single" w:color="000000" w:sz="4"/>
              <w:bottom w:val="single" w:color="000000" w:sz="4"/>
              <w:right w:val="single" w:color="000000" w:sz="4"/>
            </w:tcBorders>
            <w:shd w:fill="FFC7CE"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0000"/>
                <w:sz w:val="24"/>
                <w:szCs w:val="24"/>
              </w:rPr>
              <w:t xml:space="preserve">HIGH</w:t>
            </w:r>
          </w:p>
        </w:tc>
        <w:tc>
          <w:tcPr>
            <w:tcW w:type="dxa" w:w="16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R-003</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R-006</w:t>
            </w:r>
          </w:p>
        </w:tc>
        <w:tc>
          <w:tcPr>
            <w:tcW w:type="dxa" w:w="3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IR plan failure → CERT-In deadline missed</w:t>
            </w:r>
          </w:p>
        </w:tc>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3</w:t>
            </w:r>
          </w:p>
        </w:tc>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4</w:t>
            </w:r>
          </w:p>
        </w:tc>
        <w:tc>
          <w:tcPr>
            <w:tcW w:type="dxa" w:w="1600"/>
            <w:tcBorders>
              <w:top w:val="single" w:color="000000" w:sz="4"/>
              <w:left w:val="single" w:color="000000" w:sz="4"/>
              <w:bottom w:val="single" w:color="000000" w:sz="4"/>
              <w:right w:val="single" w:color="000000" w:sz="4"/>
            </w:tcBorders>
            <w:shd w:fill="FFC7CE"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0000"/>
                <w:sz w:val="24"/>
                <w:szCs w:val="24"/>
              </w:rPr>
              <w:t xml:space="preserve">HIGH</w:t>
            </w:r>
          </w:p>
        </w:tc>
        <w:tc>
          <w:tcPr>
            <w:tcW w:type="dxa" w:w="1600"/>
            <w:tcBorders>
              <w:top w:val="single" w:color="000000" w:sz="4"/>
              <w:left w:val="single" w:color="000000" w:sz="4"/>
              <w:bottom w:val="single" w:color="000000" w:sz="4"/>
              <w:right w:val="single" w:color="000000" w:sz="4"/>
            </w:tcBorders>
            <w:shd w:fill="FFC7CE"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0000"/>
                <w:sz w:val="24"/>
                <w:szCs w:val="24"/>
              </w:rPr>
              <w:t xml:space="preserve">HIGH</w:t>
            </w:r>
          </w:p>
        </w:tc>
        <w:tc>
          <w:tcPr>
            <w:tcW w:type="dxa" w:w="1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R-006</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R-009</w:t>
            </w:r>
          </w:p>
        </w:tc>
        <w:tc>
          <w:tcPr>
            <w:tcW w:type="dxa" w:w="3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Regulatory non-compliance → DPDP/CERT-In enforcement</w:t>
            </w:r>
          </w:p>
        </w:tc>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3</w:t>
            </w:r>
          </w:p>
        </w:tc>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4</w:t>
            </w:r>
          </w:p>
        </w:tc>
        <w:tc>
          <w:tcPr>
            <w:tcW w:type="dxa" w:w="16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6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R-009</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R-013</w:t>
            </w:r>
          </w:p>
        </w:tc>
        <w:tc>
          <w:tcPr>
            <w:tcW w:type="dxa" w:w="3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Social engineering of non-Engineering staff</w:t>
            </w:r>
          </w:p>
        </w:tc>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3</w:t>
            </w:r>
          </w:p>
        </w:tc>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3</w:t>
            </w:r>
          </w:p>
        </w:tc>
        <w:tc>
          <w:tcPr>
            <w:tcW w:type="dxa" w:w="16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6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MEDIUM</w:t>
            </w:r>
          </w:p>
        </w:tc>
        <w:tc>
          <w:tcPr>
            <w:tcW w:type="dxa" w:w="1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R-013</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R-015</w:t>
            </w:r>
          </w:p>
        </w:tc>
        <w:tc>
          <w:tcPr>
            <w:tcW w:type="dxa" w:w="3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Ransomware → production encryption + outage</w:t>
            </w:r>
          </w:p>
        </w:tc>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3</w:t>
            </w:r>
          </w:p>
        </w:tc>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val="false"/>
                <w:bCs w:val="false"/>
                <w:i w:val="false"/>
                <w:iCs w:val="false"/>
                <w:color w:val="000000"/>
                <w:sz w:val="24"/>
                <w:szCs w:val="24"/>
              </w:rPr>
              <w:t xml:space="preserve">5</w:t>
            </w:r>
          </w:p>
        </w:tc>
        <w:tc>
          <w:tcPr>
            <w:tcW w:type="dxa" w:w="1600"/>
            <w:tcBorders>
              <w:top w:val="single" w:color="000000" w:sz="4"/>
              <w:left w:val="single" w:color="000000" w:sz="4"/>
              <w:bottom w:val="single" w:color="000000" w:sz="4"/>
              <w:right w:val="single" w:color="000000" w:sz="4"/>
            </w:tcBorders>
            <w:shd w:fill="FFC7CE"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0000"/>
                <w:sz w:val="24"/>
                <w:szCs w:val="24"/>
              </w:rPr>
              <w:t xml:space="preserve">HIGH</w:t>
            </w:r>
          </w:p>
        </w:tc>
        <w:tc>
          <w:tcPr>
            <w:tcW w:type="dxa" w:w="16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MED-HIGH</w:t>
            </w:r>
          </w:p>
        </w:tc>
        <w:tc>
          <w:tcPr>
            <w:tcW w:type="dxa" w:w="1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tcPr>
          <w:p>
            <w:pPr>
              <w:jc w:val="center"/>
            </w:pPr>
            <w:r>
              <w:rPr>
                <w:rFonts w:ascii="Aptos" w:cs="Aptos" w:eastAsia="Aptos" w:hAnsi="Aptos"/>
                <w:b/>
                <w:bCs/>
                <w:i w:val="false"/>
                <w:iCs w:val="false"/>
                <w:color w:val="000000"/>
                <w:sz w:val="24"/>
                <w:szCs w:val="24"/>
              </w:rPr>
              <w:t xml:space="preserve">R-015</w:t>
            </w:r>
          </w:p>
        </w:tc>
      </w:tr>
    </w:tbl>
    <w:p>
      <w:pPr>
        <w:spacing w:after="140" w:before="80"/>
        <w:jc w:val="left"/>
      </w:pPr>
      <w:r>
        <w:rPr>
          <w:rFonts w:ascii="Aptos" w:cs="Aptos" w:eastAsia="Aptos" w:hAnsi="Aptos"/>
          <w:b w:val="false"/>
          <w:bCs w:val="false"/>
          <w:i/>
          <w:iCs/>
          <w:color w:val="000000"/>
          <w:sz w:val="24"/>
          <w:szCs w:val="24"/>
        </w:rPr>
        <w:t xml:space="preserve">R-006 is the only risk where residual rating equals inherent rating. The IR plan is rated Not Effective — missing CERT-In, DPDP and UAE PDPL notification paths, never tested. Not Effective means zero score adjustment. This is why R-006 is the Priority 1 treatment action in ISMS-PLN-005.</w:t>
      </w:r>
    </w:p>
    <w:p>
      <w:pPr>
        <w:pStyle w:val="Heading1"/>
        <w:spacing w:after="120" w:before="300"/>
      </w:pPr>
      <w:r>
        <w:rPr>
          <w:rFonts w:ascii="Aptos" w:cs="Aptos" w:eastAsia="Aptos" w:hAnsi="Aptos"/>
          <w:b/>
          <w:bCs/>
          <w:i w:val="false"/>
          <w:iCs w:val="false"/>
          <w:color w:val="000000"/>
          <w:sz w:val="36"/>
          <w:szCs w:val="36"/>
        </w:rPr>
        <w:t xml:space="preserve">7. Conclusions</w:t>
      </w:r>
    </w:p>
    <w:p>
      <w:pPr>
        <w:pStyle w:val="Heading2"/>
        <w:spacing w:after="100" w:before="200"/>
      </w:pPr>
      <w:r>
        <w:rPr>
          <w:rFonts w:ascii="Aptos" w:cs="Aptos" w:eastAsia="Aptos" w:hAnsi="Aptos"/>
          <w:b/>
          <w:bCs/>
          <w:i w:val="false"/>
          <w:iCs w:val="false"/>
          <w:color w:val="000000"/>
          <w:sz w:val="32"/>
          <w:szCs w:val="32"/>
        </w:rPr>
        <w:t xml:space="preserve">Theme 1: MediSync is actively targeted</w:t>
      </w:r>
    </w:p>
    <w:p>
      <w:pPr>
        <w:spacing w:after="140" w:before="0"/>
        <w:jc w:val="left"/>
      </w:pPr>
      <w:r>
        <w:rPr>
          <w:rFonts w:ascii="Aptos" w:cs="Aptos" w:eastAsia="Aptos" w:hAnsi="Aptos"/>
          <w:b w:val="false"/>
          <w:bCs w:val="false"/>
          <w:i w:val="false"/>
          <w:iCs w:val="false"/>
          <w:color w:val="000000"/>
          <w:sz w:val="24"/>
          <w:szCs w:val="24"/>
        </w:rPr>
        <w:t xml:space="preserve">Two of the six scenarios have confirmed near-misses at MediSync within the past 18 months. The phishing attack targeted Finance — a department with no awareness training. The misconfiguration went undetected by monitoring and was discovered by accident. These are not theoretical scenarios.</w:t>
      </w:r>
    </w:p>
    <w:p>
      <w:pPr>
        <w:pStyle w:val="Heading2"/>
        <w:spacing w:after="100" w:before="200"/>
      </w:pPr>
      <w:r>
        <w:rPr>
          <w:rFonts w:ascii="Aptos" w:cs="Aptos" w:eastAsia="Aptos" w:hAnsi="Aptos"/>
          <w:b/>
          <w:bCs/>
          <w:i w:val="false"/>
          <w:iCs w:val="false"/>
          <w:color w:val="000000"/>
          <w:sz w:val="32"/>
          <w:szCs w:val="32"/>
        </w:rPr>
        <w:t xml:space="preserve">Theme 2: The regulatory notification risk is asymmetric</w:t>
      </w:r>
    </w:p>
    <w:p>
      <w:pPr>
        <w:spacing w:after="140" w:before="0"/>
        <w:jc w:val="left"/>
      </w:pPr>
      <w:r>
        <w:rPr>
          <w:rFonts w:ascii="Aptos" w:cs="Aptos" w:eastAsia="Aptos" w:hAnsi="Aptos"/>
          <w:b w:val="false"/>
          <w:bCs w:val="false"/>
          <w:i w:val="false"/>
          <w:iCs w:val="false"/>
          <w:color w:val="000000"/>
          <w:sz w:val="24"/>
          <w:szCs w:val="24"/>
        </w:rPr>
        <w:t xml:space="preserve">A minor data exposure handled promptly and notified within the CERT-In 6-hour window is a manageable event. The same exposure with a missed notification is a regulatory breach regardless of how quickly the technical incident was resolved. This is why R-006 scores HIGH residual despite MediSync having reasonable detection capability — the notification process is the control that is Not Effective.</w:t>
      </w:r>
    </w:p>
    <w:p>
      <w:pPr>
        <w:pStyle w:val="Heading2"/>
        <w:spacing w:after="100" w:before="200"/>
      </w:pPr>
      <w:r>
        <w:rPr>
          <w:rFonts w:ascii="Aptos" w:cs="Aptos" w:eastAsia="Aptos" w:hAnsi="Aptos"/>
          <w:b/>
          <w:bCs/>
          <w:i w:val="false"/>
          <w:iCs w:val="false"/>
          <w:color w:val="000000"/>
          <w:sz w:val="32"/>
          <w:szCs w:val="32"/>
        </w:rPr>
        <w:t xml:space="preserve">Theme 3: The awareness gap is the largest untreated human risk</w:t>
      </w:r>
    </w:p>
    <w:p>
      <w:pPr>
        <w:spacing w:after="140" w:before="0"/>
        <w:jc w:val="left"/>
      </w:pPr>
      <w:r>
        <w:rPr>
          <w:rFonts w:ascii="Aptos" w:cs="Aptos" w:eastAsia="Aptos" w:hAnsi="Aptos"/>
          <w:b w:val="false"/>
          <w:bCs w:val="false"/>
          <w:i w:val="false"/>
          <w:iCs w:val="false"/>
          <w:color w:val="000000"/>
          <w:sz w:val="24"/>
          <w:szCs w:val="24"/>
        </w:rPr>
        <w:t xml:space="preserve">Three of the six scenarios (Scenarios 1, 3 and 6) are directly enabled by the absence of security awareness training for non-Engineering staff. The 290 untrained staff represent a large, externally observable attack surface. The awareness programme (O-06 in ISMS-LDR-002, treatment actions in ISMS-PLN-005) is the most impactful single Phase 4 investment MediSync can make.</w:t>
      </w:r>
    </w:p>
    <w:p>
      <w:pPr>
        <w:pStyle w:val="Heading1"/>
        <w:spacing w:after="120" w:before="300"/>
      </w:pPr>
      <w:r>
        <w:rPr>
          <w:rFonts w:ascii="Aptos" w:cs="Aptos" w:eastAsia="Aptos" w:hAnsi="Aptos"/>
          <w:b/>
          <w:bCs/>
          <w:i w:val="false"/>
          <w:iCs w:val="false"/>
          <w:color w:val="000000"/>
          <w:sz w:val="36"/>
          <w:szCs w:val="36"/>
        </w:rPr>
        <w:t xml:space="preserve">8.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lead — findings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May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and monitoring scenarios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May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and process scenarios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May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RESTRICTED — Senior Management and Audit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ISMS-PLN-011  |  Risk Assessment Report — Scenario-Based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2026-08-25T14:49:16.983Z</dcterms:created>
  <dcterms:modified xsi:type="dcterms:W3CDTF">2026-08-25T14:49:16.998Z</dcterms:modified>
</cp:coreProperties>
</file>

<file path=docProps/custom.xml><?xml version="1.0" encoding="utf-8"?>
<Properties xmlns="http://schemas.openxmlformats.org/officeDocument/2006/custom-properties" xmlns:vt="http://schemas.openxmlformats.org/officeDocument/2006/docPropsVTypes"/>
</file>