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RISK TREATMENT APPROVAL RECORD</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Approval Record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6.1.3 — Information Security Risk Treatment; Clause 6.1.2(e) — Risk Treatment Options Selected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12 of 12 — Final Phase 3 Deliverable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M-03 Gate Evidence; Phase 4 Authorised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chaired by Ananya Rao — CEO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Approval</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Gate Closed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 — 30 May 2026</w:t>
            </w:r>
          </w:p>
        </w:tc>
      </w:tr>
    </w:tbl>
    <w:p>
      <w:pPr>
        <w:spacing w:after="220" w:before="140"/>
      </w:pPr>
      <w:r>
        <w:rPr>
          <w:rFonts w:ascii="Aptos" w:cs="Aptos" w:eastAsia="Aptos" w:hAnsi="Aptos"/>
          <w:b w:val="false"/>
          <w:bCs w:val="false"/>
          <w:i/>
          <w:iCs/>
          <w:color w:val="000000"/>
          <w:sz w:val="24"/>
          <w:szCs w:val="24"/>
        </w:rPr>
        <w:t xml:space="preserve">This record formally documents that the ISMS Steering Committee has reviewed and approved the risk treatment decisions for all 20 risks in ISMS-PLN-004. It closes the M-03 phase gate and authorises Phase 4 (Support) to proceed. It is the final Phase 3 deliverable.</w:t>
      </w:r>
    </w:p>
    <w:p>
      <w:pPr>
        <w:pStyle w:val="Heading1"/>
        <w:spacing w:after="120" w:before="28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ISO/IEC 27001:2022 Clause 6.1.3 requires that MediSync applies the risk treatment process to determine appropriate treatment options for each identified risk, and that management approves the risk treatment plan and accepts the residual risks. This document records that approval.</w:t>
      </w:r>
    </w:p>
    <w:p>
      <w:pPr>
        <w:spacing w:after="140" w:before="0"/>
        <w:jc w:val="left"/>
      </w:pPr>
      <w:r>
        <w:rPr>
          <w:rFonts w:ascii="Aptos" w:cs="Aptos" w:eastAsia="Aptos" w:hAnsi="Aptos"/>
          <w:b w:val="false"/>
          <w:bCs w:val="false"/>
          <w:i w:val="false"/>
          <w:iCs w:val="false"/>
          <w:color w:val="000000"/>
          <w:sz w:val="24"/>
          <w:szCs w:val="24"/>
        </w:rPr>
        <w:t xml:space="preserve">It serves three functions: it closes the M-03 gate in ISMS-INI-002, it provides the Steering Committee's formal approval of the risk treatment decisions in ISMS-PLN-005, and it records the formal acceptance (or non-acceptance) of the residual risk position for each risk in ISMS-PLN-004.</w:t>
      </w:r>
    </w:p>
    <w:p>
      <w:pPr>
        <w:pStyle w:val="Heading1"/>
        <w:spacing w:after="120" w:before="280"/>
      </w:pPr>
      <w:r>
        <w:rPr>
          <w:rFonts w:ascii="Aptos" w:cs="Aptos" w:eastAsia="Aptos" w:hAnsi="Aptos"/>
          <w:b/>
          <w:bCs/>
          <w:i w:val="false"/>
          <w:iCs w:val="false"/>
          <w:color w:val="000000"/>
          <w:sz w:val="36"/>
          <w:szCs w:val="36"/>
        </w:rPr>
        <w:t xml:space="preserve">2. Phase 3 Deliverable Completion Checklist</w:t>
      </w:r>
    </w:p>
    <w:p>
      <w:pPr>
        <w:spacing w:after="140" w:before="0"/>
        <w:jc w:val="left"/>
      </w:pPr>
      <w:r>
        <w:rPr>
          <w:rFonts w:ascii="Aptos" w:cs="Aptos" w:eastAsia="Aptos" w:hAnsi="Aptos"/>
          <w:b w:val="false"/>
          <w:bCs w:val="false"/>
          <w:i w:val="false"/>
          <w:iCs w:val="false"/>
          <w:color w:val="000000"/>
          <w:sz w:val="24"/>
          <w:szCs w:val="24"/>
        </w:rPr>
        <w:t xml:space="preserve">All twelve Phase 3 deliverables must be Approved before M-03 can close. The Steering Committee confirmed acceptance of all twelve at the meeting on 30 May 2026.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400"/>
        <w:gridCol w:w="2200"/>
        <w:gridCol w:w="1440"/>
        <w:gridCol w:w="1340"/>
      </w:tblGrid>
      <w:tr>
        <w:trPr>
          <w:cantSplit/>
          <w:tblHeader/>
        </w:trPr>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 ID</w:t>
            </w:r>
          </w:p>
        </w:tc>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c>
          <w:tcPr>
            <w:tcW w:type="dxa" w:w="14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34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c>
          <w:tcPr>
            <w:tcW w:type="dxa" w:w="13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ISMS-PLN-002</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&amp; Criteria Document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c>
          <w:tcPr>
            <w:tcW w:type="dxa" w:w="13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ISMS-PLN-003</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Asset Register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c>
          <w:tcPr>
            <w:tcW w:type="dxa" w:w="13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Steering Cmt</w:t>
            </w:r>
          </w:p>
        </w:tc>
        <w:tc>
          <w:tcPr>
            <w:tcW w:type="dxa" w:w="14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ISMS-PLN-006</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ISMS-PLN-007</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Annex A Control Justification Matrix</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Steering Cmt</w:t>
            </w:r>
          </w:p>
        </w:tc>
        <w:tc>
          <w:tcPr>
            <w:tcW w:type="dxa" w:w="14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ISMS-PLN-008</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Objectives &amp; Planning Document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c>
          <w:tcPr>
            <w:tcW w:type="dxa" w:w="13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ISMS-PLN-009</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Procedure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c>
          <w:tcPr>
            <w:tcW w:type="dxa" w:w="13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ISMS-PLN-010</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Report — Asset-Based</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ISMS-PLN-011</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Report — Scenario-Based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r>
        <w:trPr>
          <w:cantSplit/>
        </w:trPr>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ISMS-PLN-012</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Approval Record (this doc)</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14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c>
          <w:tcPr>
            <w:tcW w:type="dxa" w:w="134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Approved</w:t>
            </w:r>
          </w:p>
        </w:tc>
      </w:tr>
    </w:tbl>
    <w:p>
      <w:pPr>
        <w:pStyle w:val="Heading1"/>
        <w:spacing w:after="120" w:before="280"/>
      </w:pPr>
      <w:r>
        <w:rPr>
          <w:rFonts w:ascii="Aptos" w:cs="Aptos" w:eastAsia="Aptos" w:hAnsi="Aptos"/>
          <w:b/>
          <w:bCs/>
          <w:i w:val="false"/>
          <w:iCs w:val="false"/>
          <w:color w:val="000000"/>
          <w:sz w:val="36"/>
          <w:szCs w:val="36"/>
        </w:rPr>
        <w:t xml:space="preserve">3. M-03 Gate Evidence</w:t>
      </w:r>
    </w:p>
    <w:p>
      <w:pPr>
        <w:spacing w:after="140" w:before="0"/>
        <w:jc w:val="left"/>
      </w:pPr>
      <w:r>
        <w:rPr>
          <w:rFonts w:ascii="Aptos" w:cs="Aptos" w:eastAsia="Aptos" w:hAnsi="Aptos"/>
          <w:b w:val="false"/>
          <w:bCs w:val="false"/>
          <w:i w:val="false"/>
          <w:iCs w:val="false"/>
          <w:color w:val="000000"/>
          <w:sz w:val="24"/>
          <w:szCs w:val="24"/>
        </w:rPr>
        <w:t xml:space="preserve">ISMS-INI-002 sets three gate conditions for M-03. All three are confirmed met as of 30 May 2026.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3600"/>
        <w:gridCol w:w="2480"/>
      </w:tblGrid>
      <w:tr>
        <w:trPr>
          <w:cantSplit/>
          <w:tblHeader/>
        </w:trPr>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Gate condition</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Evidence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(ISMS-PLN-004) approved with all risks scored</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risks formally scored. Methodology ISMS-PLN-001 applied. Appetite thresholds from ISMS-PLN-002 applied. CISO approved 28 May; Steering Committee 30 May.</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Met</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 (ISMS-PLN-005) approved</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treatment actions across three priority groups. Priority 1 (R-006 HIGH) treatment plan confirmed immediate. Approved by Steering Committee 30 May 2026.</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Met</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 (ISMS-PLN-006) approved with all 93 controls assessed</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93 Annex A controls assessed. Zero exclusions (justified in PLN-006 Tab 3). 14 Fully Implemented, 68 Partially, 11 Not Implemented. Approved 30 May 2026.</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Met</w:t>
            </w:r>
          </w:p>
        </w:tc>
      </w:tr>
    </w:tbl>
    <w:p>
      <w:pPr>
        <w:pStyle w:val="Heading1"/>
        <w:spacing w:after="120" w:before="280"/>
      </w:pPr>
      <w:r>
        <w:rPr>
          <w:rFonts w:ascii="Aptos" w:cs="Aptos" w:eastAsia="Aptos" w:hAnsi="Aptos"/>
          <w:b/>
          <w:bCs/>
          <w:i w:val="false"/>
          <w:iCs w:val="false"/>
          <w:color w:val="000000"/>
          <w:sz w:val="36"/>
          <w:szCs w:val="36"/>
        </w:rPr>
        <w:t xml:space="preserve">4. Risk Treatment Decisions — Steering Committee Review</w:t>
      </w:r>
    </w:p>
    <w:p>
      <w:pPr>
        <w:spacing w:after="140" w:before="0"/>
        <w:jc w:val="left"/>
      </w:pPr>
      <w:r>
        <w:rPr>
          <w:rFonts w:ascii="Aptos" w:cs="Aptos" w:eastAsia="Aptos" w:hAnsi="Aptos"/>
          <w:b w:val="false"/>
          <w:bCs w:val="false"/>
          <w:i w:val="false"/>
          <w:iCs w:val="false"/>
          <w:color w:val="000000"/>
          <w:sz w:val="24"/>
          <w:szCs w:val="24"/>
        </w:rPr>
        <w:t xml:space="preserve">The Steering Committee reviewed the risk register (ISMS-PLN-004) and risk treatment plan (ISMS-PLN-005) at the M-03 meeting on 30 May 2026. The following treatment decisions were confirmed.</w:t>
      </w:r>
    </w:p>
    <w:p>
      <w:pPr>
        <w:pStyle w:val="Heading2"/>
        <w:spacing w:after="100" w:before="200"/>
      </w:pPr>
      <w:r>
        <w:rPr>
          <w:rFonts w:ascii="Aptos" w:cs="Aptos" w:eastAsia="Aptos" w:hAnsi="Aptos"/>
          <w:b/>
          <w:bCs/>
          <w:i w:val="false"/>
          <w:iCs w:val="false"/>
          <w:color w:val="000000"/>
          <w:sz w:val="32"/>
          <w:szCs w:val="32"/>
        </w:rPr>
        <w:t xml:space="preserve">4.1 Risks above appetite — requiring mandatory treatment</w:t>
      </w:r>
    </w:p>
    <w:p>
      <w:pPr>
        <w:spacing w:after="140" w:before="0"/>
        <w:jc w:val="left"/>
      </w:pPr>
      <w:r>
        <w:rPr>
          <w:rFonts w:ascii="Aptos" w:cs="Aptos" w:eastAsia="Aptos" w:hAnsi="Aptos"/>
          <w:b w:val="false"/>
          <w:bCs w:val="false"/>
          <w:i w:val="false"/>
          <w:iCs w:val="false"/>
          <w:color w:val="000000"/>
          <w:sz w:val="24"/>
          <w:szCs w:val="24"/>
        </w:rPr>
        <w:t xml:space="preserve">Per ISMS-PLN-002 Section 4, the following risks require mandatory treatment. The Steering Committee reviewed each and confirmed the treatment plan is appropriate and resourced.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000"/>
        <w:gridCol w:w="1500"/>
        <w:gridCol w:w="1500"/>
        <w:gridCol w:w="33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ID</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w:t>
            </w:r>
          </w:p>
        </w:tc>
        <w:tc>
          <w:tcPr>
            <w:tcW w:type="dxa" w:w="1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Residual Rating</w:t>
            </w:r>
          </w:p>
        </w:tc>
        <w:tc>
          <w:tcPr>
            <w:tcW w:type="dxa" w:w="1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Treatment Priority</w:t>
            </w:r>
          </w:p>
        </w:tc>
        <w:tc>
          <w:tcPr>
            <w:tcW w:type="dxa" w:w="3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Steering Committee Decision</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IR plan failure — CERT-In 6-hour deadline missed</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1 — Immediate</w:t>
            </w:r>
          </w:p>
        </w:tc>
        <w:tc>
          <w:tcPr>
            <w:tcW w:type="dxa" w:w="3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confirmed. ISMS-OPS-005 rewrite and tabletop exercise must be completed before M-05. Neha Choudhury accountable. Steering Committee to receive confirmation at next quarterly meeting.</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platform cyberattack or supply-chain compromise</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2 — 120 days</w:t>
            </w:r>
          </w:p>
        </w:tc>
        <w:tc>
          <w:tcPr>
            <w:tcW w:type="dxa" w:w="3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confirmed. Shared-platform threat model and API-GW Sentinel alert rules to be produced in Phase 5. Vikram Sundaram accountable.</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 credential compromise or payment fraud</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2 — 120 days</w:t>
            </w:r>
          </w:p>
        </w:tc>
        <w:tc>
          <w:tcPr>
            <w:tcW w:type="dxa" w:w="3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confirmed. Awareness programme (O-06) to be launched in Phase 4. Finance anti-phishing module mandatory. Priya Subramaniam accountable.</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Stale hospital-facing admin access rights</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2 — 120 days</w:t>
            </w:r>
          </w:p>
        </w:tc>
        <w:tc>
          <w:tcPr>
            <w:tcW w:type="dxa" w:w="3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confirmed. Full access review to be completed before M-05. Quarterly cadence to be formalised. Vikram Sundaram accountable.</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non-compliance — DPDP / CERT-In / UAE PDPL</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2 — 120 days</w:t>
            </w:r>
          </w:p>
        </w:tc>
        <w:tc>
          <w:tcPr>
            <w:tcW w:type="dxa" w:w="3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confirmed and in progress (OA-02 DPAs, 15% complete). Omar Al Mansoori accountable. DPAs due 30 Apr 2026 — overdue at gate; Steering Committee noted and set 14 Jun deadline.</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R-015</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 production encryption and extended outage</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2 — 120 days</w:t>
            </w:r>
          </w:p>
        </w:tc>
        <w:tc>
          <w:tcPr>
            <w:tcW w:type="dxa" w:w="3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confirmed. Backup immutability verification and ransomware DR scenario to be completed before M-05. Sana Al Farsi accountable.</w:t>
            </w:r>
          </w:p>
        </w:tc>
      </w:tr>
    </w:tbl>
    <w:p>
      <w:pPr>
        <w:pStyle w:val="Heading2"/>
        <w:spacing w:after="100" w:before="200"/>
      </w:pPr>
      <w:r>
        <w:rPr>
          <w:rFonts w:ascii="Aptos" w:cs="Aptos" w:eastAsia="Aptos" w:hAnsi="Aptos"/>
          <w:b/>
          <w:bCs/>
          <w:i w:val="false"/>
          <w:iCs w:val="false"/>
          <w:color w:val="000000"/>
          <w:sz w:val="32"/>
          <w:szCs w:val="32"/>
        </w:rPr>
        <w:t xml:space="preserve">4.2 Risks within appetite — treatment confirmed</w:t>
      </w:r>
    </w:p>
    <w:p>
      <w:pPr>
        <w:spacing w:after="140" w:before="0"/>
        <w:jc w:val="left"/>
      </w:pPr>
      <w:r>
        <w:rPr>
          <w:rFonts w:ascii="Aptos" w:cs="Aptos" w:eastAsia="Aptos" w:hAnsi="Aptos"/>
          <w:b w:val="false"/>
          <w:bCs w:val="false"/>
          <w:i w:val="false"/>
          <w:iCs w:val="false"/>
          <w:color w:val="000000"/>
          <w:sz w:val="24"/>
          <w:szCs w:val="24"/>
        </w:rPr>
        <w:t xml:space="preserve">The following risks are within appetite at residual MEDIUM or below. Treatment actions are defined in ISMS-PLN-005. No formal risk acceptance is required — treatment proceeds within the 12-month planning cycle. The Steering Committee noted these as understood and agreed the treatment approach.</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200"/>
        <w:gridCol w:w="1500"/>
        <w:gridCol w:w="46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ID</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w:t>
            </w:r>
          </w:p>
        </w:tc>
        <w:tc>
          <w:tcPr>
            <w:tcW w:type="dxa" w:w="1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Residual Rating</w:t>
            </w:r>
          </w:p>
        </w:tc>
        <w:tc>
          <w:tcPr>
            <w:tcW w:type="dxa" w:w="4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Treatment Approach Confirmed</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R-003</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misconfiguration → data exposure</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 baseline and Sentinel drift alerts. Phase 5. Sana Al Farsi.</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R-005</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CI/CD supply-chain compromise</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SDLC procedure, dependency scanning, secrets management. Phase 5. Advait Deshmukh.</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R-007</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failure — unknown RTO; extended outage</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BCDR Plan and end-to-end DR test. Phase 5 — dependent on VaultArchive assessment (R-008) first. Sana Al Farsi.</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R-008</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breach — backup archive exposure</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vendor assessment before DR test. Phase 5. ISMS Manager (interim).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R-010</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MSSP insider — SIEM data exposure</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vendor assessment and security schedule. Phase 5. Neha Choudhury.</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R-011</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Kubernetes misconfiguration — privilege escalation</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Kubernetes security baseline review and hardening standard. Phase 5. Sana Al Farsi.</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R-012</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 key / secret credential leakage</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Secrets management procedure and GitHub secret scanning. Phase 5. Advait Deshmukh.</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R-013</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Social engineering of non-Engineering staff</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Covered by R-002 awareness programme — same treatment, same gate. Priya Subramaniam.</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R-014</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gap — undetected threat</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procedures and alert coverage standard. Phase 5. Neha Choudhury.</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R-016</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intrusion / tailgating</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security procedures — all four offices. Phase 5. IT Operations Lead.</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R-017</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Shadow IT — data via unsanctioned channels</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programme and DLP assessment. Phase 4/5. Vikram Sundaram.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R-018</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absence — lost deals</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timeline maintained (M-10 Apr 2027). Interim questionnaire pack produced. In progress.</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R-019</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2/3 vendor breach — contact/payment data</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and assess PulseMail, PayBridge, TrustID. Phase 5. ISMS Manager (interim).</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R-020</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JML failure — stale accounts for departed staff</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JML procedure and same-day revocation SLA. Phase 5. Priya Subramaniam.</w:t>
            </w:r>
          </w:p>
        </w:tc>
      </w:tr>
    </w:tbl>
    <w:p>
      <w:pPr>
        <w:pStyle w:val="Heading2"/>
        <w:spacing w:after="100" w:before="200"/>
      </w:pPr>
      <w:r>
        <w:rPr>
          <w:rFonts w:ascii="Aptos" w:cs="Aptos" w:eastAsia="Aptos" w:hAnsi="Aptos"/>
          <w:b/>
          <w:bCs/>
          <w:i w:val="false"/>
          <w:iCs w:val="false"/>
          <w:color w:val="000000"/>
          <w:sz w:val="32"/>
          <w:szCs w:val="32"/>
        </w:rPr>
        <w:t xml:space="preserve">4.3 Risks formally accepted</w:t>
      </w:r>
    </w:p>
    <w:p>
      <w:pPr>
        <w:spacing w:after="140" w:before="0"/>
        <w:jc w:val="left"/>
      </w:pPr>
      <w:r>
        <w:rPr>
          <w:rFonts w:ascii="Aptos" w:cs="Aptos" w:eastAsia="Aptos" w:hAnsi="Aptos"/>
          <w:b w:val="false"/>
          <w:bCs w:val="false"/>
          <w:i w:val="false"/>
          <w:iCs w:val="false"/>
          <w:color w:val="000000"/>
          <w:sz w:val="24"/>
          <w:szCs w:val="24"/>
        </w:rPr>
        <w:t xml:space="preserve">No risks were formally accepted at this gate. All identified risks are subject to treatment actions in ISMS-PLN-005. The Risk Acceptance Log in ISMS-PLN-004 Tab 3 remains empty at baseline. Formal acceptances will be considered only once treatment actions are verified complete and residual risk positions are signed off per ISMS-PLN-002 Section 3.</w:t>
      </w:r>
    </w:p>
    <w:p>
      <w:pPr>
        <w:pStyle w:val="Heading1"/>
        <w:spacing w:after="120" w:before="280"/>
      </w:pPr>
      <w:r>
        <w:rPr>
          <w:rFonts w:ascii="Aptos" w:cs="Aptos" w:eastAsia="Aptos" w:hAnsi="Aptos"/>
          <w:b/>
          <w:bCs/>
          <w:i w:val="false"/>
          <w:iCs w:val="false"/>
          <w:color w:val="000000"/>
          <w:sz w:val="36"/>
          <w:szCs w:val="36"/>
        </w:rPr>
        <w:t xml:space="preserve">5. Residual Risk Position — Steering Committee Acknowledgement</w:t>
      </w:r>
    </w:p>
    <w:p>
      <w:pPr>
        <w:spacing w:after="140" w:before="0"/>
        <w:jc w:val="left"/>
      </w:pPr>
      <w:r>
        <w:rPr>
          <w:rFonts w:ascii="Aptos" w:cs="Aptos" w:eastAsia="Aptos" w:hAnsi="Aptos"/>
          <w:b w:val="false"/>
          <w:bCs w:val="false"/>
          <w:i w:val="false"/>
          <w:iCs w:val="false"/>
          <w:color w:val="000000"/>
          <w:sz w:val="24"/>
          <w:szCs w:val="24"/>
        </w:rPr>
        <w:t xml:space="preserve">The Steering Committee reviewed the residual risk position as at 30 May 2026 and acknowledged the following: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Steering Committee Acknowledgement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residual risk distribution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HIGH, 5 MED-HIGH, 10 MEDIUM, 4 LOW across 20 risks. No CRITICAL residual risks. The HIGH residual (R-006) is the result of the IR plan being rated Not Effective — controls reduce detection capability but not the notification process.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above appetite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risks are above appetite at residual rating (R-001, R-002, R-004, R-006, R-009, R-015). All 6 have mandatory treatment plans in ISMS-PLN-005 with named owners and M-05 (October 2026) deadlines. The Steering Committee confirms it accepts accountability for these risks remaining above appetite until treatment is complete.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 Highest priority</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Steering Committee confirms awareness that R-006 (IR plan failure / CERT-In 6-hour deadline) is the single most urgent risk in the register. ISMS-OPS-005 rewrite and tabletop exercise are Priority 1 actions. The CISO is accountable. The Steering Committee will receive confirmation of completion at the next meeting — failure to deliver by M-05 will be treated as a programme risk escalation.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verbal risk acceptance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ISMS-PLN-002 Section 3, verbal or informal risk acceptance is not valid once the ISMS is operational (effective from 30 May 2026). Any risk acceptance must be documented, time-limited, signed by the risk owner and countersigned by the CISO, with Steering Committee review for HIGH or above.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 review cadence</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risk position to be reviewed at each quarterly Steering Committee meeting and at the first management review (M-06 October 2026). The risk register (ISMS-PLN-004) is a live document — any material change to a risk is processed through ISMS-PLN-009 Change Management.</w:t>
            </w:r>
          </w:p>
        </w:tc>
      </w:tr>
    </w:tbl>
    <w:p>
      <w:pPr>
        <w:pStyle w:val="Heading1"/>
        <w:spacing w:after="120" w:before="280"/>
      </w:pPr>
      <w:r>
        <w:rPr>
          <w:rFonts w:ascii="Aptos" w:cs="Aptos" w:eastAsia="Aptos" w:hAnsi="Aptos"/>
          <w:b/>
          <w:bCs/>
          <w:i w:val="false"/>
          <w:iCs w:val="false"/>
          <w:color w:val="000000"/>
          <w:sz w:val="36"/>
          <w:szCs w:val="36"/>
        </w:rPr>
        <w:t xml:space="preserve">6. Key Facts Established in Phase 3</w:t>
      </w:r>
    </w:p>
    <w:p>
      <w:pPr>
        <w:spacing w:after="140" w:before="0"/>
        <w:jc w:val="left"/>
      </w:pPr>
      <w:r>
        <w:rPr>
          <w:rFonts w:ascii="Aptos" w:cs="Aptos" w:eastAsia="Aptos" w:hAnsi="Aptos"/>
          <w:b w:val="false"/>
          <w:bCs w:val="false"/>
          <w:i w:val="false"/>
          <w:iCs w:val="false"/>
          <w:color w:val="000000"/>
          <w:sz w:val="24"/>
          <w:szCs w:val="24"/>
        </w:rPr>
        <w:t xml:space="preserve">These facts are established, documented and baselined. They do not change without a formal document update.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Baseline fact</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 risks in register</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risks — R-001 to R-020. Two assessment streams (ISMS-PLN-010 asset-based, ISMS-PLN-011 scenario-based) both feed the single register ISMS-PLN-004.</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ratings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HIGH (R-006) | 5 MED-HIGH (R-001, R-002, R-004, R-009, R-015) | 10 MEDIUM | 4 LOW.</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Formally accepted risks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All risks are subject to treatment.</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Controls confirmed fully effective</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controls — MFA (Entra ID), encryption at rest/transit, TLS at API-GW, NGFW segmentation, CrowdStrike EDR, GitHub branch protection, data residency, environment separation.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1 treatment action</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rewrite ISMS-OPS-005 with all three notification tracks (CERT-In, DPDP, UAE PDPL). Tabletop exercise before M-05. Neha Choudhury accountable.</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93 Annex A controls applicable. Zero exclusions. 14 Fully Implemented, 68 Partially Implemented, 11 Not Implemented. Implementation gap to be closed in Phase 5.</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tranche released</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₹19,80,000 Phase 3 consulting tranche released upon M-03 gate closure, per ISMS-INI-002 Section 10.</w:t>
            </w:r>
          </w:p>
        </w:tc>
      </w:tr>
    </w:tbl>
    <w:p>
      <w:pPr>
        <w:pStyle w:val="Heading1"/>
        <w:spacing w:after="120" w:before="280"/>
      </w:pPr>
      <w:r>
        <w:rPr>
          <w:rFonts w:ascii="Aptos" w:cs="Aptos" w:eastAsia="Aptos" w:hAnsi="Aptos"/>
          <w:b/>
          <w:bCs/>
          <w:i w:val="false"/>
          <w:iCs w:val="false"/>
          <w:color w:val="000000"/>
          <w:sz w:val="36"/>
          <w:szCs w:val="36"/>
        </w:rPr>
        <w:t xml:space="preserve">7. Phase 4 Authorisation</w:t>
      </w:r>
    </w:p>
    <w:p>
      <w:pPr>
        <w:spacing w:after="140" w:before="0"/>
        <w:jc w:val="left"/>
      </w:pPr>
      <w:r>
        <w:rPr>
          <w:rFonts w:ascii="Aptos" w:cs="Aptos" w:eastAsia="Aptos" w:hAnsi="Aptos"/>
          <w:b w:val="false"/>
          <w:bCs w:val="false"/>
          <w:i w:val="false"/>
          <w:iCs w:val="false"/>
          <w:color w:val="000000"/>
          <w:sz w:val="24"/>
          <w:szCs w:val="24"/>
        </w:rPr>
        <w:t xml:space="preserve">With M-03 confirmed closed, the ISMS Steering Committee authorises the project to proceed to Phase 4 — Support (Clause 7). Phase 4 covers: the resource allocation plan, competence matrix, training needs analysis, security awareness programme, and supporting documentation. Phase 4 must be complete and approved by M-04 (July 2026).</w:t>
      </w:r>
    </w:p>
    <w:p>
      <w:pPr>
        <w:spacing w:after="140" w:before="0"/>
        <w:jc w:val="left"/>
      </w:pPr>
      <w:r>
        <w:rPr>
          <w:rFonts w:ascii="Aptos" w:cs="Aptos" w:eastAsia="Aptos" w:hAnsi="Aptos"/>
          <w:b w:val="false"/>
          <w:bCs w:val="false"/>
          <w:i w:val="false"/>
          <w:iCs w:val="false"/>
          <w:color w:val="000000"/>
          <w:sz w:val="24"/>
          <w:szCs w:val="24"/>
        </w:rPr>
        <w:t xml:space="preserve">The Phase 3 consulting tranche of ₹19,80,000 is released upon this approval, per ISMS-INI-002 Section 10. Total consulting investment released to date: ₹38,50,000 of ₹1,71,60,000 (22.5% of programme budget).</w:t>
      </w:r>
    </w:p>
    <w:p>
      <w:pPr>
        <w:pStyle w:val="Heading1"/>
        <w:spacing w:after="120" w:before="280"/>
      </w:pPr>
      <w:r>
        <w:rPr>
          <w:rFonts w:ascii="Aptos" w:cs="Aptos" w:eastAsia="Aptos" w:hAnsi="Aptos"/>
          <w:b/>
          <w:bCs/>
          <w:i w:val="false"/>
          <w:iCs w:val="false"/>
          <w:color w:val="000000"/>
          <w:sz w:val="36"/>
          <w:szCs w:val="36"/>
        </w:rPr>
        <w:t xml:space="preserve">8. Outstanding Actions Before Phase 4 Closes (M-04)</w:t>
      </w:r>
    </w:p>
    <w:p>
      <w:pPr>
        <w:spacing w:after="140" w:before="0"/>
        <w:jc w:val="left"/>
      </w:pPr>
      <w:r>
        <w:rPr>
          <w:rFonts w:ascii="Aptos" w:cs="Aptos" w:eastAsia="Aptos" w:hAnsi="Aptos"/>
          <w:b w:val="false"/>
          <w:bCs w:val="false"/>
          <w:i w:val="false"/>
          <w:iCs w:val="false"/>
          <w:color w:val="000000"/>
          <w:sz w:val="24"/>
          <w:szCs w:val="24"/>
        </w:rPr>
        <w:t xml:space="preserve">These actions were identified in Phase 3 but are not M-03 gate conditions. They must be resolved no later than M-04.</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4800"/>
        <w:gridCol w:w="2000"/>
        <w:gridCol w:w="24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Due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OA-01</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R-009 DPA review completion — 8 of 22 still outstanding at M-03 gate. Extended deadline set by Steering Committee.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Jun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OA-02</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immutability verification — confirm S3 Object Lock and Azure Immutable Blob Storage configurations.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Before Phase 5 DR test</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OA-03</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appointment — role vacant since Q4 2025. ISMS Manager holds interim ownership overloading the key person.</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 4 — May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OA-04</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security assessment must be completed before the DR test (ISMS-PLN-005 DEP-04).</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(interim)</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Before M-05 DR test</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OA-05</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shortlisting — begin at Month 7 (August 2026). No buffer on this timeline.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 7 — Aug 2026</w:t>
            </w:r>
          </w:p>
        </w:tc>
      </w:tr>
    </w:tbl>
    <w:p>
      <w:pPr>
        <w:pStyle w:val="Heading1"/>
        <w:spacing w:after="120" w:before="280"/>
      </w:pPr>
      <w:r>
        <w:rPr>
          <w:rFonts w:ascii="Aptos" w:cs="Aptos" w:eastAsia="Aptos" w:hAnsi="Aptos"/>
          <w:b/>
          <w:bCs/>
          <w:i w:val="false"/>
          <w:iCs w:val="false"/>
          <w:color w:val="000000"/>
          <w:sz w:val="36"/>
          <w:szCs w:val="36"/>
        </w:rPr>
        <w:t xml:space="preserve">9. Approval</w:t>
      </w:r>
    </w:p>
    <w:p>
      <w:pPr>
        <w:spacing w:after="140" w:before="0"/>
        <w:jc w:val="left"/>
      </w:pPr>
      <w:r>
        <w:rPr>
          <w:rFonts w:ascii="Aptos" w:cs="Aptos" w:eastAsia="Aptos" w:hAnsi="Aptos"/>
          <w:b w:val="false"/>
          <w:bCs w:val="false"/>
          <w:i w:val="false"/>
          <w:iCs w:val="false"/>
          <w:color w:val="000000"/>
          <w:sz w:val="24"/>
          <w:szCs w:val="24"/>
        </w:rPr>
        <w:t xml:space="preserve">By approving this record, the Steering Committee confirms that: (a) all Phase 3 deliverables are accepted; (b) the risk treatment decisions in Section 4 are approved; (c) the residual risk position in Section 5 is acknowledged; and (d) Phase 4 is authorised to proceed.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 and confirmed all Phase 3 deliverables accepted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and treatment plan technically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May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risk decisions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May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Financial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consulting tranche release authorised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 — M-03 gate closed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May 2026</w:t>
            </w:r>
          </w:p>
        </w:tc>
      </w:tr>
    </w:tbl>
    <w:p>
      <w:pPr>
        <w:keepNext/>
        <w:spacing w:after="80" w:before="280"/>
      </w:pPr>
      <w:r>
        <w:rPr>
          <w:rFonts w:ascii="Aptos" w:cs="Aptos" w:eastAsia="Aptos" w:hAnsi="Aptos"/>
          <w:b w:val="false"/>
          <w:bCs w:val="false"/>
          <w:i w:val="false"/>
          <w:iCs w:val="false"/>
          <w:color w:val="000000"/>
          <w:sz w:val="24"/>
          <w:szCs w:val="24"/>
        </w:rPr>
        <w:t xml:space="preserve">Signature (CEO — gate closure): ______________________________     Date: _________________________</w:t>
      </w:r>
    </w:p>
    <w:p>
      <w:pPr>
        <w:spacing w:after="20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ISMS-PLN-012  |  Risk Treatment Approval Record  |  M-03 Gate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2026-08-25T15:01:59.134Z</dcterms:created>
  <dcterms:modified xsi:type="dcterms:W3CDTF">2026-08-25T15:01:59.146Z</dcterms:modified>
</cp:coreProperties>
</file>

<file path=docProps/custom.xml><?xml version="1.0" encoding="utf-8"?>
<Properties xmlns="http://schemas.openxmlformats.org/officeDocument/2006/custom-properties" xmlns:vt="http://schemas.openxmlformats.org/officeDocument/2006/docPropsVTypes"/>
</file>