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80" w:before="160"/>
        <w:jc w:val="center"/>
      </w:pPr>
      <w:r>
        <w:rPr>
          <w:rFonts w:ascii="Aptos" w:cs="Aptos" w:eastAsia="Aptos" w:hAnsi="Aptos"/>
          <w:b/>
          <w:bCs/>
          <w:i w:val="false"/>
          <w:iCs w:val="false"/>
          <w:color w:val="000000"/>
          <w:sz w:val="36"/>
          <w:szCs w:val="36"/>
        </w:rPr>
        <w:t xml:space="preserve">RESOURCE ALLOCATION PLAN</w:t>
      </w:r>
    </w:p>
    <w:p>
      <w:pPr>
        <w:spacing w:after="28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Resource Allocation Plan</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ISMS-SUP-001</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7.1 — Resources</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4 — Support (Clause 7), Item 1 of 10</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Phase 4 Baseline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Internal Use Only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Farhan Ahmed — Chief Operating Officer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 Date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July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 Cycle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Quarterly review; updated at each phase gate; revised immediately on any material resourcing change</w:t>
            </w:r>
          </w:p>
        </w:tc>
      </w:tr>
    </w:tbl>
    <w:p>
      <w:pPr>
        <w:spacing w:after="200" w:before="140"/>
      </w:pPr>
      <w:r>
        <w:rPr>
          <w:rFonts w:ascii="Aptos" w:cs="Aptos" w:eastAsia="Aptos" w:hAnsi="Aptos"/>
          <w:b w:val="false"/>
          <w:bCs w:val="false"/>
          <w:i/>
          <w:iCs/>
          <w:color w:val="000000"/>
          <w:sz w:val="24"/>
          <w:szCs w:val="24"/>
        </w:rPr>
        <w:t xml:space="preserve">This document identifies the people, budget and tools that MediSync has committed to the ISMS programme. It answers the Clause 7.1 question: have we actually given the ISMS what it needs to succeed? If a resource shown here is not available when required, that is a programme risk — not a planning assumption.</w:t>
      </w:r>
    </w:p>
    <w:p>
      <w:pPr>
        <w:pStyle w:val="Heading1"/>
        <w:spacing w:after="120" w:before="300"/>
      </w:pPr>
      <w:r>
        <w:rPr>
          <w:rFonts w:ascii="Aptos" w:cs="Aptos" w:eastAsia="Aptos" w:hAnsi="Aptos"/>
          <w:b/>
          <w:bCs/>
          <w:i w:val="false"/>
          <w:iCs w:val="false"/>
          <w:color w:val="000000"/>
          <w:sz w:val="36"/>
          <w:szCs w:val="36"/>
        </w:rPr>
        <w:t xml:space="preserve">Document Control</w:t>
      </w:r>
    </w:p>
    <w:p>
      <w:pPr>
        <w:pStyle w:val="Heading2"/>
        <w:spacing w:after="100" w:before="200"/>
      </w:pPr>
      <w:r>
        <w:rPr>
          <w:rFonts w:ascii="Aptos" w:cs="Aptos" w:eastAsia="Aptos" w:hAnsi="Aptos"/>
          <w:b/>
          <w:bCs/>
          <w:i w:val="false"/>
          <w:iCs w:val="false"/>
          <w:color w:val="000000"/>
          <w:sz w:val="32"/>
          <w:szCs w:val="32"/>
        </w:rPr>
        <w:t xml:space="preserve">1. Version History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1300"/>
        <w:gridCol w:w="1700"/>
        <w:gridCol w:w="4600"/>
        <w:gridCol w:w="1580"/>
      </w:tblGrid>
      <w:tr>
        <w:trPr>
          <w:cantSplit/>
          <w:tblHeader/>
        </w:trPr>
        <w:tc>
          <w:tcPr>
            <w:tcW w:type="dxa" w:w="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Ver.</w:t>
            </w:r>
          </w:p>
        </w:tc>
        <w:tc>
          <w:tcPr>
            <w:tcW w:type="dxa" w:w="1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c>
          <w:tcPr>
            <w:tcW w:type="dxa" w:w="1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Author</w:t>
            </w:r>
          </w:p>
        </w:tc>
        <w:tc>
          <w:tcPr>
            <w:tcW w:type="dxa" w:w="4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Summary</w:t>
            </w:r>
          </w:p>
        </w:tc>
        <w:tc>
          <w:tcPr>
            <w:tcW w:type="dxa" w:w="15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Approved By</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0.1</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Jul 2026</w:t>
            </w:r>
          </w:p>
        </w:tc>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Consulting Team</w:t>
            </w:r>
          </w:p>
        </w:tc>
        <w:tc>
          <w:tcPr>
            <w:tcW w:type="dxa" w:w="4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Initial draft — internal resource commitments gathered from department heads at Phase 3 close.</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c>
          <w:tcPr>
            <w:tcW w:type="dxa" w:w="1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Jul 2026</w:t>
            </w:r>
          </w:p>
        </w:tc>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Farhan Ahmed (COO)</w:t>
            </w:r>
          </w:p>
        </w:tc>
        <w:tc>
          <w:tcPr>
            <w:tcW w:type="dxa" w:w="4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by COO. All internal commitments signed off. Approved by Steering Committee.</w:t>
            </w:r>
          </w:p>
        </w:tc>
        <w:tc>
          <w:tcPr>
            <w:tcW w:type="dxa" w:w="1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w:t>
            </w:r>
          </w:p>
        </w:tc>
      </w:tr>
    </w:tbl>
    <w:p>
      <w:pPr>
        <w:pStyle w:val="Heading2"/>
        <w:spacing w:after="100" w:before="200"/>
      </w:pPr>
      <w:r>
        <w:rPr>
          <w:rFonts w:ascii="Aptos" w:cs="Aptos" w:eastAsia="Aptos" w:hAnsi="Aptos"/>
          <w:b/>
          <w:bCs/>
          <w:i w:val="false"/>
          <w:iCs w:val="false"/>
          <w:color w:val="000000"/>
          <w:sz w:val="32"/>
          <w:szCs w:val="32"/>
        </w:rPr>
        <w:t xml:space="preserve">2. Related Documents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3000"/>
        <w:gridCol w:w="5180"/>
      </w:tblGrid>
      <w:tr>
        <w:trPr>
          <w:cantSplit/>
          <w:tblHeader/>
        </w:trPr>
        <w:tc>
          <w:tcPr>
            <w:tcW w:type="dxa" w:w="1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Reference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Document</w:t>
            </w:r>
          </w:p>
        </w:tc>
        <w:tc>
          <w:tcPr>
            <w:tcW w:type="dxa" w:w="51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Relationship</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ISMS-INI-001</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Project Charter</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Original budget authorisation (₹1.71 Cr) and programme-level resource commitment.</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ISMS-INI-002</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Project Plan</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schedule and gate dates this plan is aligned to.</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ISMS-LDR-002</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 Objectives Document</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Objectives O-01 to O-11 drive the resource requirements in Section 4.</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ISMS-PLN-005</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Treatment Plan</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Treatment actions (Sections 4.2 of PLN-005) require the department-level resources confirmed here.</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ISMS-SUP-002</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Competence Matrix</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Companion document — what skills each named role needs to have or develop.</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ISMS-SUP-003</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Training Needs Analysis</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Identifies where training investment is required to close competence gaps.</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ISMS-PEV-008</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Management Review Minutes</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Management review (A-13 agenda item) reviews resource adequacy annually.</w:t>
            </w:r>
          </w:p>
        </w:tc>
      </w:tr>
    </w:tbl>
    <w:p>
      <w:pPr>
        <w:pStyle w:val="Heading1"/>
        <w:spacing w:after="120" w:before="200"/>
        <w:jc w:val="center"/>
      </w:pPr>
      <w:r>
        <w:rPr>
          <w:rFonts w:ascii="Aptos" w:cs="Aptos" w:eastAsia="Aptos" w:hAnsi="Aptos"/>
          <w:b/>
          <w:bCs/>
          <w:i w:val="false"/>
          <w:iCs w:val="false"/>
          <w:color w:val="000000"/>
          <w:sz w:val="36"/>
          <w:szCs w:val="36"/>
        </w:rPr>
        <w:t xml:space="preserve">Table of Contents</w:t>
      </w:r>
    </w:p>
    <w:p>
      <w:pPr>
        <w:spacing w:after="140"/>
        <w:jc w:val="center"/>
      </w:pPr>
      <w:r>
        <w:rPr>
          <w:rFonts w:ascii="Aptos" w:cs="Aptos" w:eastAsia="Aptos" w:hAnsi="Aptos"/>
          <w:b w:val="false"/>
          <w:bCs w:val="false"/>
          <w:i/>
          <w:iCs/>
          <w:color w:val="000000"/>
          <w:sz w:val="22"/>
          <w:szCs w:val="22"/>
        </w:rPr>
        <w:t xml:space="preserve">(Right-click → 'Update Field' or press F9 in Microsoft Word.)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00"/>
      </w:pPr>
      <w:r>
        <w:rPr>
          <w:rFonts w:ascii="Aptos" w:cs="Aptos" w:eastAsia="Aptos" w:hAnsi="Aptos"/>
          <w:b/>
          <w:bCs/>
          <w:i w:val="false"/>
          <w:iCs w:val="false"/>
          <w:color w:val="000000"/>
          <w:sz w:val="36"/>
          <w:szCs w:val="36"/>
        </w:rPr>
        <w:t xml:space="preserve">1. Purpose</w:t>
      </w:r>
    </w:p>
    <w:p>
      <w:pPr>
        <w:spacing w:after="140" w:before="0"/>
        <w:jc w:val="left"/>
      </w:pPr>
      <w:r>
        <w:rPr>
          <w:rFonts w:ascii="Aptos" w:cs="Aptos" w:eastAsia="Aptos" w:hAnsi="Aptos"/>
          <w:b w:val="false"/>
          <w:bCs w:val="false"/>
          <w:i w:val="false"/>
          <w:iCs w:val="false"/>
          <w:color w:val="000000"/>
          <w:sz w:val="24"/>
          <w:szCs w:val="24"/>
        </w:rPr>
        <w:t xml:space="preserve">ISO/IEC 27001:2022 Clause 7.1 requires that MediSync determines and provides the resources needed to establish, implement, maintain and continually improve the ISMS. This document is how we demonstrate that.</w:t>
      </w:r>
    </w:p>
    <w:p>
      <w:pPr>
        <w:spacing w:after="140" w:before="0"/>
        <w:jc w:val="left"/>
      </w:pPr>
      <w:r>
        <w:rPr>
          <w:rFonts w:ascii="Aptos" w:cs="Aptos" w:eastAsia="Aptos" w:hAnsi="Aptos"/>
          <w:b w:val="false"/>
          <w:bCs w:val="false"/>
          <w:i w:val="false"/>
          <w:iCs w:val="false"/>
          <w:color w:val="000000"/>
          <w:sz w:val="24"/>
          <w:szCs w:val="24"/>
        </w:rPr>
        <w:t xml:space="preserve">An ISMS that looks good on paper but has nobody actually running it is not an ISMS — it is a documentation exercise. This plan makes the resource commitment concrete: specific people, specific hours, specific budget, tied to specific deliverables. The CISO and COO are jointly accountable for ensuring these commitments are honoured.</w:t>
      </w:r>
    </w:p>
    <w:p>
      <w:pPr>
        <w:pStyle w:val="Heading1"/>
        <w:spacing w:after="120" w:before="300"/>
      </w:pPr>
      <w:r>
        <w:rPr>
          <w:rFonts w:ascii="Aptos" w:cs="Aptos" w:eastAsia="Aptos" w:hAnsi="Aptos"/>
          <w:b/>
          <w:bCs/>
          <w:i w:val="false"/>
          <w:iCs w:val="false"/>
          <w:color w:val="000000"/>
          <w:sz w:val="36"/>
          <w:szCs w:val="36"/>
        </w:rPr>
        <w:t xml:space="preserve">2. Resource Categories</w:t>
      </w:r>
    </w:p>
    <w:p>
      <w:pPr>
        <w:spacing w:after="140" w:before="0"/>
        <w:jc w:val="left"/>
      </w:pPr>
      <w:r>
        <w:rPr>
          <w:rFonts w:ascii="Aptos" w:cs="Aptos" w:eastAsia="Aptos" w:hAnsi="Aptos"/>
          <w:b w:val="false"/>
          <w:bCs w:val="false"/>
          <w:i w:val="false"/>
          <w:iCs w:val="false"/>
          <w:color w:val="000000"/>
          <w:sz w:val="24"/>
          <w:szCs w:val="24"/>
        </w:rPr>
        <w:t xml:space="preserve">The ISMS programme draws on three types of resource: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Internal people — MediSync staff contributing time to ISMS activities alongside their day jobs. These are the most constrained resource because they cannot be scaled by spending more money.</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External consulting — the information security consulting team engaged under the phase-gate model in ISMS-INI-002. They bring specialist ISMS implementation expertise; internal staff bring MediSync-specific context. Both are needed.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Tools and technology — software subscriptions, platforms and tooling that the ISMS operates on. These are largely already in place; the investment here is in licensing, configuration time, and maintenance.</w:t>
      </w:r>
    </w:p>
    <w:p>
      <w:pPr>
        <w:pStyle w:val="Heading1"/>
        <w:spacing w:after="120" w:before="300"/>
      </w:pPr>
      <w:r>
        <w:rPr>
          <w:rFonts w:ascii="Aptos" w:cs="Aptos" w:eastAsia="Aptos" w:hAnsi="Aptos"/>
          <w:b/>
          <w:bCs/>
          <w:i w:val="false"/>
          <w:iCs w:val="false"/>
          <w:color w:val="000000"/>
          <w:sz w:val="36"/>
          <w:szCs w:val="36"/>
        </w:rPr>
        <w:t xml:space="preserve">3. Internal People — ISMS Core Team</w:t>
      </w:r>
    </w:p>
    <w:p>
      <w:pPr>
        <w:spacing w:after="140" w:before="0"/>
        <w:jc w:val="left"/>
      </w:pPr>
      <w:r>
        <w:rPr>
          <w:rFonts w:ascii="Aptos" w:cs="Aptos" w:eastAsia="Aptos" w:hAnsi="Aptos"/>
          <w:b w:val="false"/>
          <w:bCs w:val="false"/>
          <w:i w:val="false"/>
          <w:iCs w:val="false"/>
          <w:color w:val="000000"/>
          <w:sz w:val="24"/>
          <w:szCs w:val="24"/>
        </w:rPr>
        <w:t xml:space="preserve">The people below are the core ISMS team. They are named individuals with specific accountability — not job titles. Where a role is vacant or pending, that is flagged explicitly because it is a programme risk, not an assumption.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2000"/>
        <w:gridCol w:w="1400"/>
        <w:gridCol w:w="1600"/>
        <w:gridCol w:w="1200"/>
        <w:gridCol w:w="14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 / Name</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ISMS Responsibility</w:t>
            </w:r>
          </w:p>
        </w:tc>
        <w:tc>
          <w:tcPr>
            <w:tcW w:type="dxa" w:w="1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Time Commitment</w:t>
            </w:r>
          </w:p>
        </w:tc>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Active Phases</w:t>
            </w:r>
          </w:p>
        </w:tc>
        <w:tc>
          <w:tcPr>
            <w:tcW w:type="dxa" w:w="1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Location</w:t>
            </w:r>
          </w:p>
        </w:tc>
        <w:tc>
          <w:tcPr>
            <w:tcW w:type="dxa" w:w="1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Status</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GRC / ISMS Manager
Meera Iyer</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Day-to-day programme delivery. Owns document register, consulting engagement, scheduling, reporting, and certification body relationship from Month 7.</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~80% of working time across all phases</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1–10 (all)</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1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Active — confirmed</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Deputy ISMS Manager
Rohan Sharma</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Full repository access. Assumes all ISMS Manager responsibilities when Meera Iyer is unavailable. Key-person risk mitigation.</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 of working time Phase 3–10; higher if acting ISMS Manager</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3–10</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1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 appointed Apr 2026</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
Vikram Sundaram</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Owns the risk register, SoA, and all operational security procedures. Leads risk assessment workshops. Technical contact for certification body during audits.</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Phase 1–3; ~25% Phase 5; ~20% Phase 8–10</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1–10 (all)</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1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Active — confirmed</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Cloud Infrastructure
Sana Al Farsi</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Owns cloud and network controls, BCDR Plan, end-to-end DR test. Responsible for backup immutability verification and Kubernetes security baseline.</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 Phase 5; ~10% Phase 6–10</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5–10</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1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Active — confirmed</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Manager
Neha Choudhury</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Owns security monitoring, incident response rewrite (ISMS-OPS-005), tabletop exercise facilitation, and SIEM alert coverage standard.</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Phase 5; ~10% ongoing post-cert</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5–10</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1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Active — confirmed</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VP Engineering
Advait Deshmukh</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Owns secure SDLC procedure, source code controls, dependency scanning, CI/CD pipeline security documentation. Engineering representative in risk workshops.</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 Phase 5; ~5% Phase 6–10</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5–10</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Pune</w:t>
            </w:r>
          </w:p>
        </w:tc>
        <w:tc>
          <w:tcPr>
            <w:tcW w:type="dxa" w:w="1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Active — confirmed</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HR
Priya Subramaniam</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Owns security awareness programme (ISMS-SUP-005), joiner-mover-leaver procedure, and training completion tracking across all departments.</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Phase 4; ~5% Phase 5–10</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4–10</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1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Active — confirmed</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Legal &amp; Compliance (UAE)
Omar Al Mansoori</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Owns Legal &amp; Regulatory Register (ISMS-INI-010), DPA reviews, regulatory gap closure, and UAE PDPL obligations. Reviews all legal risk entries.</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 Phase 1–5; ~5% Phase 6–10</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1–10</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Dubai</w:t>
            </w:r>
          </w:p>
        </w:tc>
        <w:tc>
          <w:tcPr>
            <w:tcW w:type="dxa" w:w="1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Active — confirmed</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Customer Success
Divya Nair</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Routes all customer right-to-audit and questionnaire requests through ISMS Manager. Manages enterprise customer notice for DR test window.</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Phase 5–10 (coordination role)</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5–10</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Hyderabad</w:t>
            </w:r>
          </w:p>
        </w:tc>
        <w:tc>
          <w:tcPr>
            <w:tcW w:type="dxa" w:w="1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Active — confirmed</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Procurement
(VACANT)</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Owns vendor tiering, supplier assessments and sub-processor management. ISMS Manager holds interim ownership pending appointment.</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once appointed; interim covered by ISMS Manager</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5–10</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1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VACANT — appointment required by Month 4. Escalation risk.</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IT Operations Lead
(Name TBC)</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Owns access review execution, JML procedure, physical security controls, and endpoint management.</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Phase 5; ~5% Phase 6–10</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5–10</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1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Active — name to be confirmed</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Clinical Integration
Dr. Ahmed Al Balushi</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Owns customer-specific integration risk, ABDM boundary, and MoHFW standards compliance for EHR-CORE and TELE-PLT.</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Phase 3 (workshops); ~5% Phase 5</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3, Phase 5</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Hyderabad</w:t>
            </w:r>
          </w:p>
        </w:tc>
        <w:tc>
          <w:tcPr>
            <w:tcW w:type="dxa" w:w="1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Active — confirmed</w:t>
            </w:r>
          </w:p>
        </w:tc>
      </w:tr>
    </w:tbl>
    <w:p>
      <w:pPr>
        <w:pStyle w:val="Heading1"/>
        <w:spacing w:after="120" w:before="300"/>
      </w:pPr>
      <w:r>
        <w:rPr>
          <w:rFonts w:ascii="Aptos" w:cs="Aptos" w:eastAsia="Aptos" w:hAnsi="Aptos"/>
          <w:b/>
          <w:bCs/>
          <w:i w:val="false"/>
          <w:iCs w:val="false"/>
          <w:color w:val="000000"/>
          <w:sz w:val="36"/>
          <w:szCs w:val="36"/>
        </w:rPr>
        <w:t xml:space="preserve">4. Department Security Champions</w:t>
      </w:r>
    </w:p>
    <w:p>
      <w:pPr>
        <w:spacing w:after="140" w:before="0"/>
        <w:jc w:val="left"/>
      </w:pPr>
      <w:r>
        <w:rPr>
          <w:rFonts w:ascii="Aptos" w:cs="Aptos" w:eastAsia="Aptos" w:hAnsi="Aptos"/>
          <w:b w:val="false"/>
          <w:bCs w:val="false"/>
          <w:i w:val="false"/>
          <w:iCs w:val="false"/>
          <w:color w:val="000000"/>
          <w:sz w:val="24"/>
          <w:szCs w:val="24"/>
        </w:rPr>
        <w:t xml:space="preserve">Security Champions are the ISMS's eyes and hands inside each department. They are not the security owners for their department — that is the department head — but they are the practical implementers: collecting evidence, following up on awareness training completion, and being the first point of contact for their colleagues when something seems wrong.</w:t>
      </w:r>
    </w:p>
    <w:p>
      <w:pPr>
        <w:spacing w:after="140" w:before="0"/>
        <w:jc w:val="left"/>
      </w:pPr>
      <w:r>
        <w:rPr>
          <w:rFonts w:ascii="Aptos" w:cs="Aptos" w:eastAsia="Aptos" w:hAnsi="Aptos"/>
          <w:b w:val="false"/>
          <w:bCs w:val="false"/>
          <w:i w:val="false"/>
          <w:iCs w:val="false"/>
          <w:color w:val="000000"/>
          <w:sz w:val="24"/>
          <w:szCs w:val="24"/>
        </w:rPr>
        <w:t xml:space="preserve">Champions commit approximately 4 hours per week from Phase 3 onward. They attend the monthly Security Champions Forum (ISMS Manager chairs). Nominations were due end of Phase 2.</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1800"/>
        <w:gridCol w:w="1600"/>
        <w:gridCol w:w="2000"/>
        <w:gridCol w:w="22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Department</w:t>
            </w:r>
          </w:p>
        </w:tc>
        <w:tc>
          <w:tcPr>
            <w:tcW w:type="dxa" w:w="1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Nominated Champion</w:t>
            </w:r>
          </w:p>
        </w:tc>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Confirmed?</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Location</w:t>
            </w:r>
          </w:p>
        </w:tc>
        <w:tc>
          <w:tcPr>
            <w:tcW w:type="dxa" w:w="2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Key ISMS Activity</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Engineering (Product)</w:t>
            </w:r>
          </w:p>
        </w:tc>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To be confirmed by Advait Deshmukh</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Pending</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Pune</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SDLC evidence, pipeline security, code review records</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Cloud &amp; Infrastructure</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To be confirmed by Sana Al Farsi</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Pending</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2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Cloud config evidence, NGFW records, DR test coordination</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Operations Centre</w:t>
            </w:r>
          </w:p>
        </w:tc>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To be confirmed by Neha Choudhury</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Pending</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procedure evidence, alert logs, incident records</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Human Resources</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To be confirmed by Priya Subramaniam</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Pending</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2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JML records, training completion tracking, HR controls evidence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Customer Success</w:t>
            </w:r>
          </w:p>
        </w:tc>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To be confirmed by Divya Nair</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Pending</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Hyderabad</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Customer-facing security controls, questionnaire records</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Sales</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To be confirmed by Karan Bhatia</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Pending</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Dubai</w:t>
            </w:r>
          </w:p>
        </w:tc>
        <w:tc>
          <w:tcPr>
            <w:tcW w:type="dxa" w:w="2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claim controls, RFP response evidence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Finance</w:t>
            </w:r>
          </w:p>
        </w:tc>
        <w:tc>
          <w:tcPr>
            <w:tcW w:type="dxa" w:w="1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To be confirmed by Rajesh Menon</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Pending</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Payment controls evidence, Finance anti-phishing follow-up</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Legal &amp; Compliance</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To be confirmed by Omar Al Mansoori</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Pending</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Dubai</w:t>
            </w:r>
          </w:p>
        </w:tc>
        <w:tc>
          <w:tcPr>
            <w:tcW w:type="dxa" w:w="2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Regulatory compliance evidence, DPA register maintenance</w:t>
            </w:r>
          </w:p>
        </w:tc>
      </w:tr>
    </w:tbl>
    <w:p>
      <w:pPr>
        <w:spacing w:after="140" w:before="60"/>
        <w:jc w:val="left"/>
      </w:pPr>
      <w:r>
        <w:rPr>
          <w:rFonts w:ascii="Aptos" w:cs="Aptos" w:eastAsia="Aptos" w:hAnsi="Aptos"/>
          <w:b w:val="false"/>
          <w:bCs w:val="false"/>
          <w:i w:val="false"/>
          <w:iCs w:val="false"/>
          <w:color w:val="000000"/>
          <w:sz w:val="24"/>
          <w:szCs w:val="24"/>
        </w:rPr>
        <w:t xml:space="preserve">All 8 nominations are pending as of Phase 4 baseline. The COO (Farhan Ahmed) is responsible for confirming all nominations before M-04 closes. Unconfirmed Champions at M-04 gate are a gate risk — evidence collection from those departments cannot proceed without them.</w:t>
      </w:r>
    </w:p>
    <w:p>
      <w:pPr>
        <w:pStyle w:val="Heading1"/>
        <w:spacing w:after="120" w:before="300"/>
      </w:pPr>
      <w:r>
        <w:rPr>
          <w:rFonts w:ascii="Aptos" w:cs="Aptos" w:eastAsia="Aptos" w:hAnsi="Aptos"/>
          <w:b/>
          <w:bCs/>
          <w:i w:val="false"/>
          <w:iCs w:val="false"/>
          <w:color w:val="000000"/>
          <w:sz w:val="36"/>
          <w:szCs w:val="36"/>
        </w:rPr>
        <w:t xml:space="preserve">5. External Consulting Team</w:t>
      </w:r>
    </w:p>
    <w:p>
      <w:pPr>
        <w:spacing w:after="140" w:before="0"/>
        <w:jc w:val="left"/>
      </w:pPr>
      <w:r>
        <w:rPr>
          <w:rFonts w:ascii="Aptos" w:cs="Aptos" w:eastAsia="Aptos" w:hAnsi="Aptos"/>
          <w:b w:val="false"/>
          <w:bCs w:val="false"/>
          <w:i w:val="false"/>
          <w:iCs w:val="false"/>
          <w:color w:val="000000"/>
          <w:sz w:val="24"/>
          <w:szCs w:val="24"/>
        </w:rPr>
        <w:t xml:space="preserve">The external consulting team is engaged under the phase-gate model in ISMS-INI-002. Fees are released against accepted deliverables, not elapsed time — so if a phase produces no accepted deliverables, no fee is released. This keeps the engagement incentive-aligned.</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3600"/>
        <w:gridCol w:w="40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Responsibilities in the ISMS programme</w:t>
            </w:r>
          </w:p>
        </w:tc>
        <w:tc>
          <w:tcPr>
            <w:tcW w:type="dxa" w:w="4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Phases Active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Engagement Lead</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Overall programme governance, Steering Committee reporting, certification body selection support, quality assurance over all deliverables.</w:t>
            </w:r>
          </w:p>
        </w:tc>
        <w:tc>
          <w:tcPr>
            <w:tcW w:type="dxa" w:w="4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1–10 (all, at reduced intensity Phases 5–9)</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 ISMS Consultant</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Primary document author for Phases 1–3. Risk assessment facilitation. SoA production. Internal audit facilitation (Phase 6). Stage 1 and Stage 2 preparation.</w:t>
            </w:r>
          </w:p>
        </w:tc>
        <w:tc>
          <w:tcPr>
            <w:tcW w:type="dxa" w:w="4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1–10 (highest intensity Phases 1–3 and 8–10)</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&amp; Controls Consultant</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register scoring, risk treatment plan, BCDR plan structure, vendor assessment framework.</w:t>
            </w:r>
          </w:p>
        </w:tc>
        <w:tc>
          <w:tcPr>
            <w:tcW w:type="dxa" w:w="4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3, Phase 5</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Security Consultant</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control evidence review, Kubernetes security baseline, cloud configuration review, penetration test coordination.</w:t>
            </w:r>
          </w:p>
        </w:tc>
        <w:tc>
          <w:tcPr>
            <w:tcW w:type="dxa" w:w="4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 Phase 8–9</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Lead</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Designs and executes the Phase 6 internal audit programme. Maintains independence from all implementing functions.</w:t>
            </w:r>
          </w:p>
        </w:tc>
        <w:tc>
          <w:tcPr>
            <w:tcW w:type="dxa" w:w="4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6</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Reporting Analyst</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Power BI dashboard suite (ISMS-CRT-004). Monthly GRC status report template. Management review input packs.</w:t>
            </w:r>
          </w:p>
        </w:tc>
        <w:tc>
          <w:tcPr>
            <w:tcW w:type="dxa" w:w="4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7–10</w:t>
            </w:r>
          </w:p>
        </w:tc>
      </w:tr>
    </w:tbl>
    <w:p>
      <w:pPr>
        <w:pStyle w:val="Heading2"/>
        <w:spacing w:after="100" w:before="200"/>
      </w:pPr>
      <w:r>
        <w:rPr>
          <w:rFonts w:ascii="Aptos" w:cs="Aptos" w:eastAsia="Aptos" w:hAnsi="Aptos"/>
          <w:b/>
          <w:bCs/>
          <w:i w:val="false"/>
          <w:iCs w:val="false"/>
          <w:color w:val="000000"/>
          <w:sz w:val="32"/>
          <w:szCs w:val="32"/>
        </w:rPr>
        <w:t xml:space="preserve">5.1 Consulting fee schedule</w:t>
      </w:r>
    </w:p>
    <w:p>
      <w:pPr>
        <w:spacing w:after="140" w:before="0"/>
        <w:jc w:val="left"/>
      </w:pPr>
      <w:r>
        <w:rPr>
          <w:rFonts w:ascii="Aptos" w:cs="Aptos" w:eastAsia="Aptos" w:hAnsi="Aptos"/>
          <w:b w:val="false"/>
          <w:bCs w:val="false"/>
          <w:i w:val="false"/>
          <w:iCs w:val="false"/>
          <w:color w:val="000000"/>
          <w:sz w:val="24"/>
          <w:szCs w:val="24"/>
        </w:rPr>
        <w:t xml:space="preserve">Fees are released at each phase gate against accepted deliverables. The schedule below is from ISMS-INI-002 Section 10. Total consulting investment: ₹1,71,60,000.</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2200"/>
        <w:gridCol w:w="2200"/>
        <w:gridCol w:w="32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Phase</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Tranche</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Status</w:t>
            </w:r>
          </w:p>
        </w:tc>
        <w:tc>
          <w:tcPr>
            <w:tcW w:type="dxa" w:w="3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Gate / Expected Date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0 — Mobilisation</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₹3,30,000</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Released</w:t>
            </w:r>
          </w:p>
        </w:tc>
        <w:tc>
          <w:tcPr>
            <w:tcW w:type="dxa" w:w="3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0 complete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1 — Initiation</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₹8,80,000</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Released</w:t>
            </w:r>
          </w:p>
        </w:tc>
        <w:tc>
          <w:tcPr>
            <w:tcW w:type="dxa" w:w="3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M-01 Mar 2026 — closed</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2 — Leadership</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₹6,60,000</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Released</w:t>
            </w:r>
          </w:p>
        </w:tc>
        <w:tc>
          <w:tcPr>
            <w:tcW w:type="dxa" w:w="3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M-02 Apr 2026 — closed</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3 — Planning</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₹19,80,000</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Released</w:t>
            </w:r>
          </w:p>
        </w:tc>
        <w:tc>
          <w:tcPr>
            <w:tcW w:type="dxa" w:w="3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M-03 May 2026 — closed</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4 — Support</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₹8,80,000</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Pending release</w:t>
            </w:r>
          </w:p>
        </w:tc>
        <w:tc>
          <w:tcPr>
            <w:tcW w:type="dxa" w:w="3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M-04 Jul 2026</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 — Operation</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₹52,80,000</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Scheduled</w:t>
            </w:r>
          </w:p>
        </w:tc>
        <w:tc>
          <w:tcPr>
            <w:tcW w:type="dxa" w:w="3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M-05 Oct 2026</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6 — Performance Eval.</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₹22,00,000</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Scheduled</w:t>
            </w:r>
          </w:p>
        </w:tc>
        <w:tc>
          <w:tcPr>
            <w:tcW w:type="dxa" w:w="3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M-06 Dec 2026</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7 — Improvement</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₹13,20,000</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Scheduled</w:t>
            </w:r>
          </w:p>
        </w:tc>
        <w:tc>
          <w:tcPr>
            <w:tcW w:type="dxa" w:w="3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M-07 Jan 2027</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8 — Stage 1 Audit Prep.</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₹16,50,000</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Scheduled</w:t>
            </w:r>
          </w:p>
        </w:tc>
        <w:tc>
          <w:tcPr>
            <w:tcW w:type="dxa" w:w="3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M-08 Feb 2027</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9 — Stage 2 Audit Prep.</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₹11,00,000</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Scheduled</w:t>
            </w:r>
          </w:p>
        </w:tc>
        <w:tc>
          <w:tcPr>
            <w:tcW w:type="dxa" w:w="3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M-09 Mar 2027</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10 — Certification</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₹8,80,000</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Scheduled</w:t>
            </w:r>
          </w:p>
        </w:tc>
        <w:tc>
          <w:tcPr>
            <w:tcW w:type="dxa" w:w="3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M-10 Apr 2027</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TOTAL</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₹1,71,60,000</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₹38,50,000 released (22.5%)</w:t>
            </w:r>
          </w:p>
        </w:tc>
        <w:tc>
          <w:tcPr>
            <w:tcW w:type="dxa" w:w="3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t>
            </w:r>
          </w:p>
        </w:tc>
      </w:tr>
    </w:tbl>
    <w:p>
      <w:pPr>
        <w:pStyle w:val="Heading1"/>
        <w:spacing w:after="120" w:before="300"/>
      </w:pPr>
      <w:r>
        <w:rPr>
          <w:rFonts w:ascii="Aptos" w:cs="Aptos" w:eastAsia="Aptos" w:hAnsi="Aptos"/>
          <w:b/>
          <w:bCs/>
          <w:i w:val="false"/>
          <w:iCs w:val="false"/>
          <w:color w:val="000000"/>
          <w:sz w:val="36"/>
          <w:szCs w:val="36"/>
        </w:rPr>
        <w:t xml:space="preserve">6. Tools and Technology Resources</w:t>
      </w:r>
    </w:p>
    <w:p>
      <w:pPr>
        <w:spacing w:after="140" w:before="0"/>
        <w:jc w:val="left"/>
      </w:pPr>
      <w:r>
        <w:rPr>
          <w:rFonts w:ascii="Aptos" w:cs="Aptos" w:eastAsia="Aptos" w:hAnsi="Aptos"/>
          <w:b w:val="false"/>
          <w:bCs w:val="false"/>
          <w:i w:val="false"/>
          <w:iCs w:val="false"/>
          <w:color w:val="000000"/>
          <w:sz w:val="24"/>
          <w:szCs w:val="24"/>
        </w:rPr>
        <w:t xml:space="preserve">The following tools support ISMS operation. Most are already deployed — the resource investment here is in configuration, policy documentation and maintenance rather than procurement.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2000"/>
        <w:gridCol w:w="2400"/>
        <w:gridCol w:w="32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Tool / Platform</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ISMS Function</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Owner</w:t>
            </w:r>
          </w:p>
        </w:tc>
        <w:tc>
          <w:tcPr>
            <w:tcW w:type="dxa" w:w="3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Status / Notes</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Microsoft Entra ID</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Identity management, MFA enforcement, access reviews, PIM for privileged accounts</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 / IT Operations</w:t>
            </w:r>
          </w:p>
        </w:tc>
        <w:tc>
          <w:tcPr>
            <w:tcW w:type="dxa" w:w="3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Fully operational. Access review feature to be configured for quarterly hospital-facing admin accounts.</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Microsoft Sentinel (SIEM)</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monitoring, log aggregation, alert rules, CERT-In 180-day retention</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 (SOC Manager)</w:t>
            </w:r>
          </w:p>
        </w:tc>
        <w:tc>
          <w:tcPr>
            <w:tcW w:type="dxa" w:w="3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Operational. Alert rules and SOC procedures to be documented in Phase 5. Log retention to be confirmed against 180-day CERT-In requirement.</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CrowdStrike Falcon (EDR)</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Endpoint detection and response, ~460 managed endpoints, automatic isolation</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 (SOC Manager)</w:t>
            </w:r>
          </w:p>
        </w:tc>
        <w:tc>
          <w:tcPr>
            <w:tcW w:type="dxa" w:w="3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Fully operational. Deployed across all managed endpoints.</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Tenable Nessus</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Vulnerability scanning — cloud infrastructure and corporate network</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 (SOC Manager)</w:t>
            </w:r>
          </w:p>
        </w:tc>
        <w:tc>
          <w:tcPr>
            <w:tcW w:type="dxa" w:w="3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Deployed. Scan schedule to be formalised and documented in Phase 5 (Gap G-15).</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Palo Alto NGFW + GlobalProtect</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Network segmentation, remote access VPN with endpoint compliance check</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w:t>
            </w:r>
          </w:p>
        </w:tc>
        <w:tc>
          <w:tcPr>
            <w:tcW w:type="dxa" w:w="3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Fully operational — core network security control.</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GitHub Enterprise</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Source code repository, branch protection, mandatory code review, secret scanning (to be enabled)</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Advait Deshmukh (VP Eng)</w:t>
            </w:r>
          </w:p>
        </w:tc>
        <w:tc>
          <w:tcPr>
            <w:tcW w:type="dxa" w:w="3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Operational. GitHub Advanced Security secret scanning to be enabled Phase 5.</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AWS KMS / Azure Key Vault</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Encryption key management for India and UAE regions respectively</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w:t>
            </w:r>
          </w:p>
        </w:tc>
        <w:tc>
          <w:tcPr>
            <w:tcW w:type="dxa" w:w="3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Operational. Key rotation schedule and procedure to be documented Phase 5.</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GRC Repository (SharePoint)</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Controlled ISMS document store — all 92 documents across Phases 1–10</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(ISMS Manager)</w:t>
            </w:r>
          </w:p>
        </w:tc>
        <w:tc>
          <w:tcPr>
            <w:tcW w:type="dxa" w:w="3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Operational. Access controls confirmed. All Phase 1–4 documents stored.</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Power BI (dashboard)</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Executive ISMS Dashboard Suite (ISMS-CRT-004) — objectives, risk, controls visibility</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Consulting Team (Reporting Analyst)</w:t>
            </w:r>
          </w:p>
        </w:tc>
        <w:tc>
          <w:tcPr>
            <w:tcW w:type="dxa" w:w="3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To be built in Phase 7–10. Data sources to be confirmed in Phase 6.</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Awareness platform (TBD)</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awareness programme delivery and completion tracking (ISMS-SUP-005/006)</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 (Head of HR)</w:t>
            </w:r>
          </w:p>
        </w:tc>
        <w:tc>
          <w:tcPr>
            <w:tcW w:type="dxa" w:w="3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Platform to be selected in Phase 4 before awareness programme launch. Budget confirmed.</w:t>
            </w:r>
          </w:p>
        </w:tc>
      </w:tr>
    </w:tbl>
    <w:p>
      <w:pPr>
        <w:pStyle w:val="Heading1"/>
        <w:spacing w:after="120" w:before="300"/>
      </w:pPr>
      <w:r>
        <w:rPr>
          <w:rFonts w:ascii="Aptos" w:cs="Aptos" w:eastAsia="Aptos" w:hAnsi="Aptos"/>
          <w:b/>
          <w:bCs/>
          <w:i w:val="false"/>
          <w:iCs w:val="false"/>
          <w:color w:val="000000"/>
          <w:sz w:val="36"/>
          <w:szCs w:val="36"/>
        </w:rPr>
        <w:t xml:space="preserve">7. Resource Constraints and Risks</w:t>
      </w:r>
    </w:p>
    <w:p>
      <w:pPr>
        <w:spacing w:after="140" w:before="0"/>
        <w:jc w:val="left"/>
      </w:pPr>
      <w:r>
        <w:rPr>
          <w:rFonts w:ascii="Aptos" w:cs="Aptos" w:eastAsia="Aptos" w:hAnsi="Aptos"/>
          <w:b w:val="false"/>
          <w:bCs w:val="false"/>
          <w:i w:val="false"/>
          <w:iCs w:val="false"/>
          <w:color w:val="000000"/>
          <w:sz w:val="24"/>
          <w:szCs w:val="24"/>
        </w:rPr>
        <w:t xml:space="preserve">These are the resource gaps that could cause a gate to slip if not resolved. Each has a named owner and a resolution date. The ISMS Manager monitors these weekly.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3800"/>
        <w:gridCol w:w="2400"/>
        <w:gridCol w:w="1600"/>
        <w:gridCol w:w="1480"/>
      </w:tblGrid>
      <w:tr>
        <w:trPr>
          <w:cantSplit/>
          <w:tblHeader/>
        </w:trPr>
        <w:tc>
          <w:tcPr>
            <w:tcW w:type="dxa" w:w="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Ref</w:t>
            </w:r>
          </w:p>
        </w:tc>
        <w:tc>
          <w:tcPr>
            <w:tcW w:type="dxa" w:w="3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Constraint</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Impact if Unresolved</w:t>
            </w:r>
          </w:p>
        </w:tc>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Owner</w:t>
            </w:r>
          </w:p>
        </w:tc>
        <w:tc>
          <w:tcPr>
            <w:tcW w:type="dxa" w:w="1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Resolution Due</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RC-01</w:t>
            </w:r>
          </w:p>
        </w:tc>
        <w:tc>
          <w:tcPr>
            <w:tcW w:type="dxa" w:w="3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Procurement role — vacant since Q4 2025. ISMS Manager holds interim ownership, creating key-person overload and vendor assessment delay.</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R-008 (VaultArchive assessment) and R-019 (Tier 2/3 vendors) cannot progress without a named owner. DR test (O-08) is blocked.</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Farhan Ahmed (COO)</w:t>
            </w:r>
          </w:p>
        </w:tc>
        <w:tc>
          <w:tcPr>
            <w:tcW w:type="dxa" w:w="1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Month 4 — May 2026 (OVERDUE at Phase 4 baseline)</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RC-02</w:t>
            </w:r>
          </w:p>
        </w:tc>
        <w:tc>
          <w:tcPr>
            <w:tcW w:type="dxa" w:w="3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Champion nominations — all 8 departments still pending as of Phase 4 launch.</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Evidence collection in Phase 5 depends on Champions being named and embedded. M-04 gate cannot close without Champions confirmed.</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Farhan Ahmed (COO)</w:t>
            </w:r>
          </w:p>
        </w:tc>
        <w:tc>
          <w:tcPr>
            <w:tcW w:type="dxa" w:w="1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M-04 — July 2026</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RC-03</w:t>
            </w:r>
          </w:p>
        </w:tc>
        <w:tc>
          <w:tcPr>
            <w:tcW w:type="dxa" w:w="3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key-person dependency — Meera Iyer is the single delivery owner across all phases. Deputy (Rohan Sharma) is named but not yet fully embedded.</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Any extended unavailability of Meera Iyer stalls the programme. Phase 5 is the highest-risk period given its volume of deliverables.</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Vikram Sundaram</w:t>
            </w:r>
          </w:p>
        </w:tc>
        <w:tc>
          <w:tcPr>
            <w:tcW w:type="dxa" w:w="1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Ongoing — deputy handover by July 2026</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RC-04</w:t>
            </w:r>
          </w:p>
        </w:tc>
        <w:tc>
          <w:tcPr>
            <w:tcW w:type="dxa" w:w="3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Awareness programme platform — not yet selected. Launch is targeted for Phase 4 (before July 2026); without a platform, tracking of the 95% completion target (M-04 gate condition) is not possible.</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O-06 awareness objective and M-04 gate are at risk if platform is not selected and configured before June 2026.</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 (Head of HR)</w:t>
            </w:r>
          </w:p>
        </w:tc>
        <w:tc>
          <w:tcPr>
            <w:tcW w:type="dxa" w:w="1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June 2026 (platform selected and configured)</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RC-05</w:t>
            </w:r>
          </w:p>
        </w:tc>
        <w:tc>
          <w:tcPr>
            <w:tcW w:type="dxa" w:w="3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Engineering release freeze (late May 2026) overlaps the Phase 5 SDLC documentation work.</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Advait Deshmukh's availability for ISMS-OPS-001 SDLC section is reduced during the freeze. Minor schedule risk.</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Advait Deshmukh / Meera Iyer</w:t>
            </w:r>
          </w:p>
        </w:tc>
        <w:tc>
          <w:tcPr>
            <w:tcW w:type="dxa" w:w="1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Mitigated — SDLC workshops scheduled before freeze (LDR-009 D-07)</w:t>
            </w:r>
          </w:p>
        </w:tc>
      </w:tr>
    </w:tbl>
    <w:p>
      <w:pPr>
        <w:pStyle w:val="Heading1"/>
        <w:spacing w:after="120" w:before="300"/>
      </w:pPr>
      <w:r>
        <w:rPr>
          <w:rFonts w:ascii="Aptos" w:cs="Aptos" w:eastAsia="Aptos" w:hAnsi="Aptos"/>
          <w:b/>
          <w:bCs/>
          <w:i w:val="false"/>
          <w:iCs w:val="false"/>
          <w:color w:val="000000"/>
          <w:sz w:val="36"/>
          <w:szCs w:val="36"/>
        </w:rPr>
        <w:t xml:space="preserve">8. Budget Allocation</w:t>
      </w:r>
    </w:p>
    <w:p>
      <w:pPr>
        <w:spacing w:after="140" w:before="0"/>
        <w:jc w:val="left"/>
      </w:pPr>
      <w:r>
        <w:rPr>
          <w:rFonts w:ascii="Aptos" w:cs="Aptos" w:eastAsia="Aptos" w:hAnsi="Aptos"/>
          <w:b w:val="false"/>
          <w:bCs w:val="false"/>
          <w:i w:val="false"/>
          <w:iCs w:val="false"/>
          <w:color w:val="000000"/>
          <w:sz w:val="24"/>
          <w:szCs w:val="24"/>
        </w:rPr>
        <w:t xml:space="preserve">The total approved ISMS programme budget is ₹1,71,00,000, authorised in ISMS-INI-001 (Project Charter). This covers external consulting fees (the majority), technology investments, and a contingency. Internal staff time is not separately costed — it is treated as an in-kind contribution confirmed by the COO.</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2400"/>
        <w:gridCol w:w="2400"/>
        <w:gridCol w:w="1680"/>
      </w:tblGrid>
      <w:tr>
        <w:trPr>
          <w:cantSplit/>
          <w:tblHeader/>
        </w:trPr>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Budget Line</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Allocated</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Spent to Date (Jul 2026)</w:t>
            </w:r>
          </w:p>
        </w:tc>
        <w:tc>
          <w:tcPr>
            <w:tcW w:type="dxa" w:w="1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Remaining</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External consulting — all phases</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₹1,71,60,000</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₹38,50,000</w:t>
            </w:r>
          </w:p>
        </w:tc>
        <w:tc>
          <w:tcPr>
            <w:tcW w:type="dxa" w:w="1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₹1,33,10,000</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Awareness platform licensing (annual)</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₹6,00,000</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w:t>
            </w:r>
          </w:p>
        </w:tc>
        <w:tc>
          <w:tcPr>
            <w:tcW w:type="dxa" w:w="1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₹6,00,000</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Penetration test (before Stage 2)</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₹4,00,000</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w:t>
            </w:r>
          </w:p>
        </w:tc>
        <w:tc>
          <w:tcPr>
            <w:tcW w:type="dxa" w:w="1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₹4,00,000</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Certification body fees (Stage 1 + 2)</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₹8,00,000</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w:t>
            </w:r>
          </w:p>
        </w:tc>
        <w:tc>
          <w:tcPr>
            <w:tcW w:type="dxa" w:w="1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₹8,00,000</w:t>
            </w:r>
          </w:p>
        </w:tc>
      </w:tr>
      <w:tr>
        <w:trPr>
          <w:cantSplit/>
        </w:trPr>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Contingency (10%)</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₹18,96,000</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w:t>
            </w:r>
          </w:p>
        </w:tc>
        <w:tc>
          <w:tcPr>
            <w:tcW w:type="dxa" w:w="1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₹18,96,000</w:t>
            </w:r>
          </w:p>
        </w:tc>
      </w:tr>
      <w:tr>
        <w:trPr>
          <w:cantSplit/>
        </w:trPr>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TOTAL</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₹2,08,56,000</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₹38,50,000</w:t>
            </w:r>
          </w:p>
        </w:tc>
        <w:tc>
          <w:tcPr>
            <w:tcW w:type="dxa" w:w="1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₹1,70,06,000</w:t>
            </w:r>
          </w:p>
        </w:tc>
      </w:tr>
    </w:tbl>
    <w:p>
      <w:pPr>
        <w:spacing w:after="140" w:before="60"/>
        <w:jc w:val="left"/>
      </w:pPr>
      <w:r>
        <w:rPr>
          <w:rFonts w:ascii="Aptos" w:cs="Aptos" w:eastAsia="Aptos" w:hAnsi="Aptos"/>
          <w:b w:val="false"/>
          <w:bCs w:val="false"/>
          <w:i/>
          <w:iCs/>
          <w:color w:val="000000"/>
          <w:sz w:val="24"/>
          <w:szCs w:val="24"/>
        </w:rPr>
        <w:t xml:space="preserve">Note: The Project Charter authorised ₹1.71 Cr for consulting. The budget table above reflects the full programme investment including non-consulting costs that were not separated in the Charter but are confirmed by the CFO. Any overspend against a line requires Steering Committee approval before commitment.</w:t>
      </w:r>
    </w:p>
    <w:p>
      <w:pPr>
        <w:pStyle w:val="Heading1"/>
        <w:spacing w:after="120" w:before="300"/>
      </w:pPr>
      <w:r>
        <w:rPr>
          <w:rFonts w:ascii="Aptos" w:cs="Aptos" w:eastAsia="Aptos" w:hAnsi="Aptos"/>
          <w:b/>
          <w:bCs/>
          <w:i w:val="false"/>
          <w:iCs w:val="false"/>
          <w:color w:val="000000"/>
          <w:sz w:val="36"/>
          <w:szCs w:val="36"/>
        </w:rPr>
        <w:t xml:space="preserve">9. Resource Adequacy Assessment</w:t>
      </w:r>
    </w:p>
    <w:p>
      <w:pPr>
        <w:spacing w:after="140" w:before="0"/>
        <w:jc w:val="left"/>
      </w:pPr>
      <w:r>
        <w:rPr>
          <w:rFonts w:ascii="Aptos" w:cs="Aptos" w:eastAsia="Aptos" w:hAnsi="Aptos"/>
          <w:b w:val="false"/>
          <w:bCs w:val="false"/>
          <w:i w:val="false"/>
          <w:iCs w:val="false"/>
          <w:color w:val="000000"/>
          <w:sz w:val="24"/>
          <w:szCs w:val="24"/>
        </w:rPr>
        <w:t xml:space="preserve">The COO confirms, as of Phase 4 baseline (July 2026), that: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The people named in Section 3 are available at the time commitments stated. Their line managers have confirmed their ISMS time allocation does not conflict with department operational commitments.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The external consulting team has sufficient capacity to deliver all Phase 4–5 deliverables within the phase timelines. Scope changes that would materially increase consulting effort will be assessed against the contingency budget before commitment.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The tools in Section 6 are licensed, operational and accessible to the people who need them. Any new tooling required (awareness platform) is budgeted and will be selected by June 2026.</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The budget in Section 8 is approved and the phase-gate release mechanism is active. The CFO has confirmed the payment schedule.</w:t>
      </w:r>
    </w:p>
    <w:p>
      <w:pPr>
        <w:spacing w:after="140" w:before="60"/>
        <w:jc w:val="left"/>
      </w:pPr>
      <w:r>
        <w:rPr>
          <w:rFonts w:ascii="Aptos" w:cs="Aptos" w:eastAsia="Aptos" w:hAnsi="Aptos"/>
          <w:b w:val="false"/>
          <w:bCs w:val="false"/>
          <w:i w:val="false"/>
          <w:iCs w:val="false"/>
          <w:color w:val="000000"/>
          <w:sz w:val="24"/>
          <w:szCs w:val="24"/>
        </w:rPr>
        <w:t xml:space="preserve">Two constraints (RC-01 Head of Procurement vacancy, RC-02 Security Champion nominations) remain unresolved at Phase 4 baseline. Both are tracked in the Phase 3 outstanding actions (ISMS-PLN-012, OA-01 and OA-03). The COO commits to resolving both before M-04 gate closure in July 2026.</w:t>
      </w:r>
    </w:p>
    <w:p>
      <w:pPr>
        <w:pStyle w:val="Heading1"/>
        <w:spacing w:after="120" w:before="300"/>
      </w:pPr>
      <w:r>
        <w:rPr>
          <w:rFonts w:ascii="Aptos" w:cs="Aptos" w:eastAsia="Aptos" w:hAnsi="Aptos"/>
          <w:b/>
          <w:bCs/>
          <w:i w:val="false"/>
          <w:iCs w:val="false"/>
          <w:color w:val="000000"/>
          <w:sz w:val="36"/>
          <w:szCs w:val="36"/>
        </w:rPr>
        <w:t xml:space="preserve">10. Approval</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900"/>
        <w:gridCol w:w="3000"/>
        <w:gridCol w:w="1880"/>
      </w:tblGrid>
      <w:tr>
        <w:trPr>
          <w:cantSplit/>
          <w:tblHeader/>
        </w:trPr>
        <w:tc>
          <w:tcPr>
            <w:tcW w:type="dxa" w:w="2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Farhan Ahmed</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Operating Officer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Resource commitments confirmed — document owner</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 Jul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GRC &amp; Compliance / ISMS Manager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Programme resource requirements confirmed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 Jul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Rajesh Menon</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Financial Officer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Budget position and tranche schedule confirmed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13 Jul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resource adequacy confirmed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14 Jul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Executive Officer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on behalf of the ISMS Steering Committee</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Jul 2026</w:t>
            </w:r>
          </w:p>
        </w:tc>
      </w:tr>
    </w:tbl>
    <w:p>
      <w:pPr>
        <w:keepNext/>
        <w:spacing w:after="80" w:before="260"/>
      </w:pPr>
      <w:r>
        <w:rPr>
          <w:rFonts w:ascii="Aptos" w:cs="Aptos" w:eastAsia="Aptos" w:hAnsi="Aptos"/>
          <w:b w:val="false"/>
          <w:bCs w:val="false"/>
          <w:i w:val="false"/>
          <w:iCs w:val="false"/>
          <w:color w:val="000000"/>
          <w:sz w:val="24"/>
          <w:szCs w:val="24"/>
        </w:rPr>
        <w:t xml:space="preserve">Signature: ______________________________________     Date: _________________________</w:t>
      </w:r>
    </w:p>
    <w:p>
      <w:pPr>
        <w:spacing w:after="160"/>
      </w:pPr>
      <w:r>
        <w:rPr>
          <w:rFonts w:ascii="Aptos" w:cs="Aptos" w:eastAsia="Aptos" w:hAnsi="Aptos"/>
          <w:b w:val="false"/>
          <w:bCs w:val="false"/>
          <w:i/>
          <w:iCs/>
          <w:color w:val="000000"/>
          <w:sz w:val="24"/>
          <w:szCs w:val="24"/>
        </w:rPr>
        <w:t xml:space="preserve">Ananya Rao, Chief Executive Officer, MediSync Technologies Pvt. Ltd.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Confidential — Internal Use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ISMS-SUP-001  |  Resource Allocation Plan  |  Project HealthSec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2026-08-29T07:28:42.128Z</dcterms:created>
  <dcterms:modified xsi:type="dcterms:W3CDTF">2026-08-29T07:28:42.142Z</dcterms:modified>
</cp:coreProperties>
</file>

<file path=docProps/custom.xml><?xml version="1.0" encoding="utf-8"?>
<Properties xmlns="http://schemas.openxmlformats.org/officeDocument/2006/custom-properties" xmlns:vt="http://schemas.openxmlformats.org/officeDocument/2006/docPropsVTypes"/>
</file>