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RECORDS RETENTION AND DISPOSAL POLICY</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Records Retention and Disposal Policy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7.5 — Documented Information; Annex A 5.33 — Protection of Records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Regulations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2023 (India); UAE PDPL; CERT-In Rules 2022; IT Act 2000; MoHFW EHR Standards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 (Clause 7), Item 10 of 10 — Final Phase 4 Deliverable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Use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July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July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Reviewed immediately on any material change to applicable regulations.</w:t>
            </w:r>
          </w:p>
        </w:tc>
      </w:tr>
    </w:tbl>
    <w:p>
      <w:pPr>
        <w:spacing w:after="200" w:before="140"/>
      </w:pPr>
      <w:r>
        <w:rPr>
          <w:rFonts w:ascii="Aptos" w:cs="Aptos" w:eastAsia="Aptos" w:hAnsi="Aptos"/>
          <w:b w:val="false"/>
          <w:bCs w:val="false"/>
          <w:i/>
          <w:iCs/>
          <w:color w:val="000000"/>
          <w:sz w:val="24"/>
          <w:szCs w:val="24"/>
        </w:rPr>
        <w:t xml:space="preserve">This policy sets the minimum retention periods for all MediSync information records and defines the approved methods for secure disposal. It applies to all records in any format — electronic, physical, or in cloud storage — within the ISMS scope.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Jul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retention periods mapped to regulatory requirements.</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Policy in force.</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ISMS-SUP-008</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of Documented Information Procedure</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procedure that governs how documents are created and managed. This policy sets the retention periods those documents must be held for.</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ISMS-SUP-009</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Register / Master List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Every document in the register is subject to this policy. The Review Due column in SUP-009 is informed by this policy.</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source of the regulatory retention obligations referenced in this policy (IND-01, IND-05, CON-06, UAE-01).</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4 (classification scheme) determines the disposal method required for each record category.</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Records must be kept long enough to serve two purposes: they provide the audit trail that demonstrates ISMS effectiveness, and they satisfy legal obligations that require records to be produced on request. This policy defines the minimum period for each.</w:t>
      </w:r>
    </w:p>
    <w:p>
      <w:pPr>
        <w:spacing w:after="140" w:before="0"/>
        <w:jc w:val="left"/>
      </w:pPr>
      <w:r>
        <w:rPr>
          <w:rFonts w:ascii="Aptos" w:cs="Aptos" w:eastAsia="Aptos" w:hAnsi="Aptos"/>
          <w:b w:val="false"/>
          <w:bCs w:val="false"/>
          <w:i w:val="false"/>
          <w:iCs w:val="false"/>
          <w:color w:val="000000"/>
          <w:sz w:val="24"/>
          <w:szCs w:val="24"/>
        </w:rPr>
        <w:t xml:space="preserve">Retaining records indefinitely is not the answer. Records held beyond their required period create unnecessary privacy risk — especially where patient data is involved — and consume storage that has a cost and a security footprint. The DPDP Act explicitly prohibits retaining personal data beyond the period for which it is needed.</w:t>
      </w:r>
    </w:p>
    <w:p>
      <w:pPr>
        <w:spacing w:after="140" w:before="0"/>
        <w:jc w:val="left"/>
      </w:pPr>
      <w:r>
        <w:rPr>
          <w:rFonts w:ascii="Aptos" w:cs="Aptos" w:eastAsia="Aptos" w:hAnsi="Aptos"/>
          <w:b w:val="false"/>
          <w:bCs w:val="false"/>
          <w:i w:val="false"/>
          <w:iCs w:val="false"/>
          <w:color w:val="000000"/>
          <w:sz w:val="24"/>
          <w:szCs w:val="24"/>
        </w:rPr>
        <w:t xml:space="preserve">This policy balances both requirements: retain long enough for legal and audit purposes; dispose of securely once that purpose is served.</w:t>
      </w:r>
    </w:p>
    <w:p>
      <w:pPr>
        <w:pStyle w:val="Heading1"/>
        <w:spacing w:after="120" w:before="300"/>
      </w:pPr>
      <w:r>
        <w:rPr>
          <w:rFonts w:ascii="Aptos" w:cs="Aptos" w:eastAsia="Aptos" w:hAnsi="Aptos"/>
          <w:b/>
          <w:bCs/>
          <w:i w:val="false"/>
          <w:iCs w:val="false"/>
          <w:color w:val="000000"/>
          <w:sz w:val="36"/>
          <w:szCs w:val="36"/>
        </w:rPr>
        <w:t xml:space="preserve">2. Scope</w:t>
      </w:r>
    </w:p>
    <w:p>
      <w:pPr>
        <w:spacing w:after="140" w:before="0"/>
        <w:jc w:val="left"/>
      </w:pPr>
      <w:r>
        <w:rPr>
          <w:rFonts w:ascii="Aptos" w:cs="Aptos" w:eastAsia="Aptos" w:hAnsi="Aptos"/>
          <w:b w:val="false"/>
          <w:bCs w:val="false"/>
          <w:i w:val="false"/>
          <w:iCs w:val="false"/>
          <w:color w:val="000000"/>
          <w:sz w:val="24"/>
          <w:szCs w:val="24"/>
        </w:rPr>
        <w:t xml:space="preserve">This policy applies to all records created or held by MediSync within the ISMS scope defined in ISMS-INI-011. It covers: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ISMS programme records — all controlled documents in ISMS-SUP-009.</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Operational security records — logs, incident records, access review logs, audit trails.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Training and awareness records — completion logs, attendance records, certificates.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Customer data records — patient health records processed on behalf of hospital customers, subject to the data processing agreements in ISMS-INI-010.</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Vendor and contractual records — vendor assessments, DPAs, security schedules.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Physical records — printed documents, physical media, paper sign-in sheets.</w:t>
      </w:r>
    </w:p>
    <w:p>
      <w:pPr>
        <w:spacing w:after="140" w:before="60"/>
        <w:jc w:val="left"/>
      </w:pPr>
      <w:r>
        <w:rPr>
          <w:rFonts w:ascii="Aptos" w:cs="Aptos" w:eastAsia="Aptos" w:hAnsi="Aptos"/>
          <w:b w:val="false"/>
          <w:bCs w:val="false"/>
          <w:i w:val="false"/>
          <w:iCs w:val="false"/>
          <w:color w:val="000000"/>
          <w:sz w:val="24"/>
          <w:szCs w:val="24"/>
        </w:rPr>
        <w:t xml:space="preserve">Records held by MediSync's cloud providers (AWS, Azure) on MediSync's behalf are subject to this policy. MediSync is responsible for configuring cloud storage to meet these retention periods — the cloud provider's default settings are not sufficient.</w:t>
      </w:r>
    </w:p>
    <w:p>
      <w:pPr>
        <w:pStyle w:val="Heading1"/>
        <w:spacing w:after="120" w:before="300"/>
      </w:pPr>
      <w:r>
        <w:rPr>
          <w:rFonts w:ascii="Aptos" w:cs="Aptos" w:eastAsia="Aptos" w:hAnsi="Aptos"/>
          <w:b/>
          <w:bCs/>
          <w:i w:val="false"/>
          <w:iCs w:val="false"/>
          <w:color w:val="000000"/>
          <w:sz w:val="36"/>
          <w:szCs w:val="36"/>
        </w:rPr>
        <w:t xml:space="preserve">3. Retention Schedule</w:t>
      </w:r>
    </w:p>
    <w:p>
      <w:pPr>
        <w:spacing w:after="140" w:before="0"/>
        <w:jc w:val="left"/>
      </w:pPr>
      <w:r>
        <w:rPr>
          <w:rFonts w:ascii="Aptos" w:cs="Aptos" w:eastAsia="Aptos" w:hAnsi="Aptos"/>
          <w:b w:val="false"/>
          <w:bCs w:val="false"/>
          <w:i w:val="false"/>
          <w:iCs w:val="false"/>
          <w:color w:val="000000"/>
          <w:sz w:val="24"/>
          <w:szCs w:val="24"/>
        </w:rPr>
        <w:t xml:space="preserve">The retention period is the minimum time a record must be kept. Records may be kept longer if there is a specific ongoing legal or audit need. They may not be disposed of earlier than the stated minimum without ISMS Manager approval and a documented exception.</w:t>
      </w:r>
    </w:p>
    <w:p>
      <w:pPr>
        <w:pStyle w:val="Heading2"/>
        <w:spacing w:after="100" w:before="200"/>
      </w:pPr>
      <w:r>
        <w:rPr>
          <w:rFonts w:ascii="Aptos" w:cs="Aptos" w:eastAsia="Aptos" w:hAnsi="Aptos"/>
          <w:b/>
          <w:bCs/>
          <w:i w:val="false"/>
          <w:iCs w:val="false"/>
          <w:color w:val="000000"/>
          <w:sz w:val="32"/>
          <w:szCs w:val="32"/>
        </w:rPr>
        <w:t xml:space="preserve">3.1 ISMS programme records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200"/>
        <w:gridCol w:w="2200"/>
        <w:gridCol w:w="20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Record Category</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Minimum Retention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Legal Basis</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Disposal Method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policies and procedures (LDR and OPS series)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 after certification lapses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7.5; audit trail requirement</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(electronic); cross-shred (physical)</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and risk assessment reports (PLN series)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 certification body evidence requirements</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classification-appropriate disposal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 — all versions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Permanent (each version retained)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requirement — SoA versions must be traceable across certification cycles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Archive in GRC Repository; not deleted</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minutes (PEV-008)</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9.3; certification body evidence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reports and findings (PEV-005, PEV-006)</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9.2; evidence of conformance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and corrective action records (IMP-002, IMP-003)</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10.1, 10.2; evidence of improvement</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correspondence and audit reports (CRT series)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 after certificate expires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requirement; potential legal dispute evidence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Archive in GRC Repository; not deleted during certification period</w:t>
            </w:r>
          </w:p>
        </w:tc>
      </w:tr>
    </w:tbl>
    <w:p>
      <w:pPr>
        <w:pStyle w:val="Heading2"/>
        <w:spacing w:after="100" w:before="200"/>
      </w:pPr>
      <w:r>
        <w:rPr>
          <w:rFonts w:ascii="Aptos" w:cs="Aptos" w:eastAsia="Aptos" w:hAnsi="Aptos"/>
          <w:b/>
          <w:bCs/>
          <w:i w:val="false"/>
          <w:iCs w:val="false"/>
          <w:color w:val="000000"/>
          <w:sz w:val="32"/>
          <w:szCs w:val="32"/>
        </w:rPr>
        <w:t xml:space="preserve">3.2 Operational security records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200"/>
        <w:gridCol w:w="2200"/>
        <w:gridCol w:w="20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Record Category</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Minimum Retention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Legal Basis</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Disposal Method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 records (OPS-006) — all severity levels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potential legal proceedings; audit trail</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(electronic)</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SIEM and CERT-In mandatory logs (Sentinel workspace)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180 days minimum; 3 years recommended</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 180-day mandatory production requirement; IT Act 2000</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Automated purge after retention period per Sentinel workspace settings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EDR telemetry</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180 days minimum</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incident forensics capability</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Automated purge per CrowdStrike retention settings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 logs (OPS-010)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reasonable safeguards; potential employment or legal dispute evidence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records (PLN-009 change log)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+ 3 years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6.3; Annex A 8.32; audit trail for configuration changes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reports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years from date of test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of security posture at point in time; may be required for customer right-to-audit</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 access; secure deletion after 3 years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scan results (Nessus)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year — rolling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of vulnerability management programme effectiveness; certification body</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(previous cycles overwritten by new cycle results)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assessment reports (OPS-003 outputs)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years from assessment date or until vendor relationship ends (whichever is longer)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 chain accountability under DPDP Act and UAE PDPL</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retain if vendor relationship continues</w:t>
            </w:r>
          </w:p>
        </w:tc>
      </w:tr>
    </w:tbl>
    <w:p>
      <w:pPr>
        <w:pStyle w:val="Heading2"/>
        <w:spacing w:after="100" w:before="200"/>
      </w:pPr>
      <w:r>
        <w:rPr>
          <w:rFonts w:ascii="Aptos" w:cs="Aptos" w:eastAsia="Aptos" w:hAnsi="Aptos"/>
          <w:b/>
          <w:bCs/>
          <w:i w:val="false"/>
          <w:iCs w:val="false"/>
          <w:color w:val="000000"/>
          <w:sz w:val="32"/>
          <w:szCs w:val="32"/>
        </w:rPr>
        <w:t xml:space="preserve">3.3 Training and awareness records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200"/>
        <w:gridCol w:w="2200"/>
        <w:gridCol w:w="20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Record Category</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Minimum Retention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Legal Basis</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Disposal Method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completion records (SUP-004)</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Duration of employment + 3 years after leaving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7.2(d); evidence of competence; potential employment dispute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after 3 years post-employment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Session attendance records (SUP-006)</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Duration of employment + 3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7.2(d); 7.3</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Professional certifications and external qualifications (SUP-004 Tab 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Duration of employment + 3 years; cert validity period if longer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of competence; certification body requirement</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after 3 years post-employment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results (aggregate, not individual)</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years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effectiveness evidence; certification body</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policy acknowledgement records (SUP-004)</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Duration of employment + 3 years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of individual obligation; potential disciplinary or legal proceeding</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after 3 years post-employment</w:t>
            </w:r>
          </w:p>
        </w:tc>
      </w:tr>
    </w:tbl>
    <w:p>
      <w:pPr>
        <w:pStyle w:val="Heading2"/>
        <w:spacing w:after="100" w:before="200"/>
      </w:pPr>
      <w:r>
        <w:rPr>
          <w:rFonts w:ascii="Aptos" w:cs="Aptos" w:eastAsia="Aptos" w:hAnsi="Aptos"/>
          <w:b/>
          <w:bCs/>
          <w:i w:val="false"/>
          <w:iCs w:val="false"/>
          <w:color w:val="000000"/>
          <w:sz w:val="32"/>
          <w:szCs w:val="32"/>
        </w:rPr>
        <w:t xml:space="preserve">3.4 Customer data records</w:t>
      </w:r>
    </w:p>
    <w:p>
      <w:pPr>
        <w:spacing w:after="140" w:before="0"/>
        <w:jc w:val="left"/>
      </w:pPr>
      <w:r>
        <w:rPr>
          <w:rFonts w:ascii="Aptos" w:cs="Aptos" w:eastAsia="Aptos" w:hAnsi="Aptos"/>
          <w:b w:val="false"/>
          <w:bCs w:val="false"/>
          <w:i w:val="false"/>
          <w:iCs w:val="false"/>
          <w:color w:val="000000"/>
          <w:sz w:val="24"/>
          <w:szCs w:val="24"/>
        </w:rPr>
        <w:t xml:space="preserve">Patient health records and other personal data processed by MediSync on behalf of hospital customers are subject to the terms of the relevant data processing agreement and to the DPDP Act (India) and UAE PDPL (UAE). This policy sets the framework — the DPA with each customer may specify shorter or longer periods that override these defaults.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200"/>
        <w:gridCol w:w="2200"/>
        <w:gridCol w:w="20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Record Category</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Minimum Retention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Legal Basis</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Disposal Method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electronic health records (EHR-CORE, HIS-CORE)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MoHFW EHR Standards: minimum 5 years from last treatment; or as specified in customer DPA</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MoHFW EHR Standards; customer DPA; DPDP Act</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on customer instruction or DPA expiry; deletion confirmation to customer</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identity and contact data (DA-002)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 specified in the customer DPA; minimum per DPDP Act purpose limitation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Section 8 — data must not be retained beyond the purpose for which it was collected</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on customer instruction; data principal erasure request</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 pharmacy and insurance claims data (DA-003, DA-004, DA-005)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customer DPA; minimum 3 years from transaction date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DPA; clinical record requirements; DPDP Act</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on expiry; deletion confirmation to customer</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processing agreements (DPAs)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years after DPA termination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sub-processor accountability; UAE PDPL; potential legal dispute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after 5 years post-termination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principal rights requests and responses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years from date of response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UAE PDPL; evidence of compliance with data subject rights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after 3 years</w:t>
            </w:r>
          </w:p>
        </w:tc>
      </w:tr>
    </w:tbl>
    <w:p>
      <w:pPr>
        <w:pStyle w:val="Heading2"/>
        <w:spacing w:after="100" w:before="200"/>
      </w:pPr>
      <w:r>
        <w:rPr>
          <w:rFonts w:ascii="Aptos" w:cs="Aptos" w:eastAsia="Aptos" w:hAnsi="Aptos"/>
          <w:b/>
          <w:bCs/>
          <w:i w:val="false"/>
          <w:iCs w:val="false"/>
          <w:color w:val="000000"/>
          <w:sz w:val="32"/>
          <w:szCs w:val="32"/>
        </w:rPr>
        <w:t xml:space="preserve">3.5 Physical records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200"/>
        <w:gridCol w:w="2200"/>
        <w:gridCol w:w="20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Record Category</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Minimum Retention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Legal Basis</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Disposal Method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Printed Restricted-classified documents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 not retain printed copies beyond immediate operational need. Maximum 24 hours.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classification requirements; data minimisation</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Cross-shred immediately after use. No general waste.</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Printed Confidential documents (contracts, reports, DPAs)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 per the electronic retention period for the same record type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Same as electronic equivalent</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Cross-shred when retention period expires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sign-in sheets (SUP-006)</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Duration of programme + 3 years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7.2(d); attendance evidence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Scan and store in GRC Repository; cross-shred physical original after scanning</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Printed Internal-classified documents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minimum retention requirement. Dispose when no longer needed.</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Cross-shred or general waste (if no sensitive content)</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media (physical tapes or drives, if applicable)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the backup retention schedule in ISMS-OPS-007</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data preservation; DR recovery requirements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Cryptographic erasure or physical destruction. Certificate of destruction required.</w:t>
            </w:r>
          </w:p>
        </w:tc>
      </w:tr>
    </w:tbl>
    <w:p>
      <w:pPr>
        <w:pStyle w:val="Heading1"/>
        <w:spacing w:after="120" w:before="300"/>
      </w:pPr>
      <w:r>
        <w:rPr>
          <w:rFonts w:ascii="Aptos" w:cs="Aptos" w:eastAsia="Aptos" w:hAnsi="Aptos"/>
          <w:b/>
          <w:bCs/>
          <w:i w:val="false"/>
          <w:iCs w:val="false"/>
          <w:color w:val="000000"/>
          <w:sz w:val="36"/>
          <w:szCs w:val="36"/>
        </w:rPr>
        <w:t xml:space="preserve">4. Approved Disposal Methods</w:t>
      </w:r>
    </w:p>
    <w:p>
      <w:pPr>
        <w:spacing w:after="140" w:before="0"/>
        <w:jc w:val="left"/>
      </w:pPr>
      <w:r>
        <w:rPr>
          <w:rFonts w:ascii="Aptos" w:cs="Aptos" w:eastAsia="Aptos" w:hAnsi="Aptos"/>
          <w:b w:val="false"/>
          <w:bCs w:val="false"/>
          <w:i w:val="false"/>
          <w:iCs w:val="false"/>
          <w:color w:val="000000"/>
          <w:sz w:val="24"/>
          <w:szCs w:val="24"/>
        </w:rPr>
        <w:t xml:space="preserve">The disposal method must match the classification of the record being disposed of. Using an unapproved disposal method — such as placing a Restricted-classified printout in general waste — is a policy breach and may constitute a data breach under the DPDP Act.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Method</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 and requirements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deletion (electronic)</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Electronic records are deleted using a method that renders them unrecoverable. For cloud storage (AWS S3, Azure Blob): cryptographic erasure — the key is destroyed, making the encrypted data permanently inaccessible. For local storage: overwrite deletion or secure erase tool (minimum 1-pass overwrite for non-SSD; cryptographic erasure for SSD). Standard "delete" and "empty recycle bin" is NOT secure deletion.</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Automated purge (logs and telemetry)</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 log and telemetry data (Sentinel, CrowdStrike): configure the platform to automatically purge data after the defined retention period. The retention setting must be confirmed against this policy when the platform is configured and rechecked annually. ISMS Manager maintains a record of the current retention settings for each platform.</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Cross-shredding (physical documents)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documents containing Restricted or Confidential information must be cross-shredded using a DIN 66399 Level P-4 or higher shredder (cross-cut, particle size ≤ 160mm²). Strip-cut shredding is not acceptable for Restricted-classified materials. Shredding bins must be locked until the shred cycle runs.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of destruction (physical media)</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storage media (hard drives, USB drives, backup tapes) containing Restricted or Confidential data must be physically destroyed by an approved provider. A certificate of destruction is obtained and retained in the GRC Repository for 3 years. Degaussing alone is not sufficient for modern SSD/flash storage.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Archive (permanent or long-term)</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Some records (all SoA versions; certification body reports) are archived permanently in the GRC Repository. Archived records are read-only and not subject to disposal during the defined archive period. Archive location: /Archived/ in the GRC Repository. Access: ISMS Manager only.</w:t>
            </w:r>
          </w:p>
        </w:tc>
      </w:tr>
    </w:tbl>
    <w:p>
      <w:pPr>
        <w:pStyle w:val="Heading1"/>
        <w:spacing w:after="120" w:before="300"/>
      </w:pPr>
      <w:r>
        <w:rPr>
          <w:rFonts w:ascii="Aptos" w:cs="Aptos" w:eastAsia="Aptos" w:hAnsi="Aptos"/>
          <w:b/>
          <w:bCs/>
          <w:i w:val="false"/>
          <w:iCs w:val="false"/>
          <w:color w:val="000000"/>
          <w:sz w:val="36"/>
          <w:szCs w:val="36"/>
        </w:rPr>
        <w:t xml:space="preserve">5. Deletion on Customer Instruction</w:t>
      </w:r>
    </w:p>
    <w:p>
      <w:pPr>
        <w:spacing w:after="140" w:before="0"/>
        <w:jc w:val="left"/>
      </w:pPr>
      <w:r>
        <w:rPr>
          <w:rFonts w:ascii="Aptos" w:cs="Aptos" w:eastAsia="Aptos" w:hAnsi="Aptos"/>
          <w:b w:val="false"/>
          <w:bCs w:val="false"/>
          <w:i w:val="false"/>
          <w:iCs w:val="false"/>
          <w:color w:val="000000"/>
          <w:sz w:val="24"/>
          <w:szCs w:val="24"/>
        </w:rPr>
        <w:t xml:space="preserve">Where a customer (Data Fiduciary under the DPDP Act) instructs MediSync to delete their data, MediSync must: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Confirm receipt of the deletion instruction in writing to the customer within 5 business days.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Execute the deletion within the timeline specified in the DPA (or within 30 days if not specified).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Confirm completion of the deletion in writing to the customer, including the specific data categories deleted and the systems from which they were deleted.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Retain the deletion instruction and confirmation as a record for 3 years.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Confirm to the customer that the instruction has been passed to all sub-processors (VaultArchive, MedLink Gulf, and any other party holding the customer's data) and that their deletion has also been confirmed.</w:t>
      </w:r>
    </w:p>
    <w:p>
      <w:pPr>
        <w:spacing w:after="140" w:before="60"/>
        <w:jc w:val="left"/>
      </w:pPr>
      <w:r>
        <w:rPr>
          <w:rFonts w:ascii="Aptos" w:cs="Aptos" w:eastAsia="Aptos" w:hAnsi="Aptos"/>
          <w:b w:val="false"/>
          <w:bCs w:val="false"/>
          <w:i w:val="false"/>
          <w:iCs w:val="false"/>
          <w:color w:val="000000"/>
          <w:sz w:val="24"/>
          <w:szCs w:val="24"/>
        </w:rPr>
        <w:t xml:space="preserve">The technical deletion capability must be confirmed per product before this policy can be operationalised. This is tracked as an open action in ISMS-PLN-005 (R-020 treatment) and will be confirmed in Phase 5 (ISMS-OPS-001 deletion procedure).</w:t>
      </w:r>
    </w:p>
    <w:p>
      <w:pPr>
        <w:pStyle w:val="Heading1"/>
        <w:spacing w:after="120" w:before="300"/>
      </w:pPr>
      <w:r>
        <w:rPr>
          <w:rFonts w:ascii="Aptos" w:cs="Aptos" w:eastAsia="Aptos" w:hAnsi="Aptos"/>
          <w:b/>
          <w:bCs/>
          <w:i w:val="false"/>
          <w:iCs w:val="false"/>
          <w:color w:val="000000"/>
          <w:sz w:val="36"/>
          <w:szCs w:val="36"/>
        </w:rPr>
        <w:t xml:space="preserve">6. Early Disposal Exceptions</w:t>
      </w:r>
    </w:p>
    <w:p>
      <w:pPr>
        <w:spacing w:after="140" w:before="0"/>
        <w:jc w:val="left"/>
      </w:pPr>
      <w:r>
        <w:rPr>
          <w:rFonts w:ascii="Aptos" w:cs="Aptos" w:eastAsia="Aptos" w:hAnsi="Aptos"/>
          <w:b w:val="false"/>
          <w:bCs w:val="false"/>
          <w:i w:val="false"/>
          <w:iCs w:val="false"/>
          <w:color w:val="000000"/>
          <w:sz w:val="24"/>
          <w:szCs w:val="24"/>
        </w:rPr>
        <w:t xml:space="preserve">A record may not be disposed of before its minimum retention period expires without the written approval of the ISMS Manager and one of: the CISO (for security records), the Head of Legal (for regulatory records), or the relevant department head (for operational records).</w:t>
      </w:r>
    </w:p>
    <w:p>
      <w:pPr>
        <w:spacing w:after="140" w:before="0"/>
        <w:jc w:val="left"/>
      </w:pPr>
      <w:r>
        <w:rPr>
          <w:rFonts w:ascii="Aptos" w:cs="Aptos" w:eastAsia="Aptos" w:hAnsi="Aptos"/>
          <w:b w:val="false"/>
          <w:bCs w:val="false"/>
          <w:i w:val="false"/>
          <w:iCs w:val="false"/>
          <w:color w:val="000000"/>
          <w:sz w:val="24"/>
          <w:szCs w:val="24"/>
        </w:rPr>
        <w:t xml:space="preserve">Requests for early disposal must document: the record type, the normal retention period, the proposed disposal date, and the reason for early disposal. Approved exceptions are logged in the GRC Repository.</w:t>
      </w:r>
    </w:p>
    <w:p>
      <w:pPr>
        <w:spacing w:after="140" w:before="0"/>
        <w:jc w:val="left"/>
      </w:pPr>
      <w:r>
        <w:rPr>
          <w:rFonts w:ascii="Aptos" w:cs="Aptos" w:eastAsia="Aptos" w:hAnsi="Aptos"/>
          <w:b w:val="false"/>
          <w:bCs w:val="false"/>
          <w:i w:val="false"/>
          <w:iCs w:val="false"/>
          <w:color w:val="000000"/>
          <w:sz w:val="24"/>
          <w:szCs w:val="24"/>
        </w:rPr>
        <w:t xml:space="preserve">Where a record is subject to a legal hold — because it may be relevant to an active or threatened legal proceeding, regulatory investigation, or data subject rights dispute — it may not be disposed of until the hold is lifted, regardless of its normal retention period. Legal holds are issued by the Head of Legal.</w:t>
      </w:r>
    </w:p>
    <w:p>
      <w:pPr>
        <w:pStyle w:val="Heading1"/>
        <w:spacing w:after="120" w:before="300"/>
      </w:pPr>
      <w:r>
        <w:rPr>
          <w:rFonts w:ascii="Aptos" w:cs="Aptos" w:eastAsia="Aptos" w:hAnsi="Aptos"/>
          <w:b/>
          <w:bCs/>
          <w:i w:val="false"/>
          <w:iCs w:val="false"/>
          <w:color w:val="000000"/>
          <w:sz w:val="36"/>
          <w:szCs w:val="36"/>
        </w:rPr>
        <w:t xml:space="preserve">7. Roles and Responsibilities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Responsibility under this policy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Meera Iyer (Policy Owner)</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this policy. Monitors retention periods across all record categories. Initiates secure disposal when records reach their retention limit. Approves early disposal exceptions. Reviews and updates this policy annually or on regulatory change.</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 Omar Al Mansoori</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Issues legal holds. Reviews and confirms retention periods for records with regulatory obligations. Reviews customer DPAs for retention obligations that vary from the defaults in this policy.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 Sana Al Farsi</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Configures and maintains cloud storage retention settings (S3 Object Lock, Azure Blob Storage lifecycle policies, Sentinel workspace retention). Confirms annually that settings meet this policy.</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Neha Choudhury</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Confirms and maintains SIEM (Sentinel) and EDR (CrowdStrike) retention settings. Produces disposal confirmation when a log retention cycle expires.</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 Priya Subramaniam</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Manages retention and disposal of training records and employee data in compliance with this policy and applicable employment law.</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Executes secure deletion of physical media. Obtains certificates of destruction. Maintains locked shredding bins. Ensures on-site shredding is to the required standard.</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 record owners (all)</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Responsible for flagging when their records approach their retention limit. Responsible for ensuring physical records in their area are disposed of correctly.</w:t>
            </w:r>
          </w:p>
        </w:tc>
      </w:tr>
    </w:tbl>
    <w:p>
      <w:pPr>
        <w:pStyle w:val="Heading1"/>
        <w:spacing w:after="120" w:before="300"/>
      </w:pPr>
      <w:r>
        <w:rPr>
          <w:rFonts w:ascii="Aptos" w:cs="Aptos" w:eastAsia="Aptos" w:hAnsi="Aptos"/>
          <w:b/>
          <w:bCs/>
          <w:i w:val="false"/>
          <w:iCs w:val="false"/>
          <w:color w:val="000000"/>
          <w:sz w:val="36"/>
          <w:szCs w:val="36"/>
        </w:rPr>
        <w:t xml:space="preserve">8. Compliance</w:t>
      </w:r>
    </w:p>
    <w:p>
      <w:pPr>
        <w:spacing w:after="140" w:before="0"/>
        <w:jc w:val="left"/>
      </w:pPr>
      <w:r>
        <w:rPr>
          <w:rFonts w:ascii="Aptos" w:cs="Aptos" w:eastAsia="Aptos" w:hAnsi="Aptos"/>
          <w:b w:val="false"/>
          <w:bCs w:val="false"/>
          <w:i w:val="false"/>
          <w:iCs w:val="false"/>
          <w:color w:val="000000"/>
          <w:sz w:val="24"/>
          <w:szCs w:val="24"/>
        </w:rPr>
        <w:t xml:space="preserve">Compliance with this policy is assessed annually by the ISMS Manager and during the Phase 6 internal audit. Non-compliance — disposing of records before the minimum retention period, or failing to dispose of records after the maximum period — is a document control nonconformity that must be corrected and logged in ISMS-IMP-002 (Nonconformity Register).</w:t>
      </w:r>
    </w:p>
    <w:p>
      <w:pPr>
        <w:spacing w:after="140" w:before="0"/>
        <w:jc w:val="left"/>
      </w:pPr>
      <w:r>
        <w:rPr>
          <w:rFonts w:ascii="Aptos" w:cs="Aptos" w:eastAsia="Aptos" w:hAnsi="Aptos"/>
          <w:b w:val="false"/>
          <w:bCs w:val="false"/>
          <w:i w:val="false"/>
          <w:iCs w:val="false"/>
          <w:color w:val="000000"/>
          <w:sz w:val="24"/>
          <w:szCs w:val="24"/>
        </w:rPr>
        <w:t xml:space="preserve">Where non-compliance has caused or may have caused a breach of a regulatory obligation (e.g., destroying CERT-In log data before 180 days; failing to delete customer data within the DPA timeline), it must be treated as a potential regulatory incident and reported to the CISO and Head of Legal immediately.</w:t>
      </w:r>
    </w:p>
    <w:p>
      <w:pPr>
        <w:pStyle w:val="Heading1"/>
        <w:spacing w:after="120" w:before="300"/>
      </w:pPr>
      <w:r>
        <w:rPr>
          <w:rFonts w:ascii="Aptos" w:cs="Aptos" w:eastAsia="Aptos" w:hAnsi="Aptos"/>
          <w:b/>
          <w:bCs/>
          <w:i w:val="false"/>
          <w:iCs w:val="false"/>
          <w:color w:val="000000"/>
          <w:sz w:val="36"/>
          <w:szCs w:val="36"/>
        </w:rPr>
        <w:t xml:space="preserve">9.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owner —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retention periods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retention settings feasibility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content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ISMS-SUP-010  |  Records Retention and Disposal Policy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2026-09-01T14:23:52.365Z</dcterms:created>
  <dcterms:modified xsi:type="dcterms:W3CDTF">2026-09-01T14:23:52.376Z</dcterms:modified>
</cp:coreProperties>
</file>

<file path=docProps/custom.xml><?xml version="1.0" encoding="utf-8"?>
<Properties xmlns="http://schemas.openxmlformats.org/officeDocument/2006/custom-properties" xmlns:vt="http://schemas.openxmlformats.org/officeDocument/2006/docPropsVTypes"/>
</file>