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40"/>
        <w:jc w:val="center"/>
      </w:pPr>
      <w:r>
        <w:rPr>
          <w:rFonts w:ascii="Aptos" w:cs="Aptos" w:eastAsia="Aptos" w:hAnsi="Aptos"/>
          <w:b w:val="false"/>
          <w:bCs w:val="false"/>
          <w:i/>
          <w:iCs/>
          <w:color w:val="000000"/>
          <w:sz w:val="24"/>
          <w:szCs w:val="24"/>
        </w:rPr>
        <w:t xml:space="preserve">Bengaluru  |  Pune  |  Hyderabad  |  Dubai</w:t>
      </w:r>
    </w:p>
    <w:p>
      <w:pPr>
        <w:spacing w:after="80" w:before="200"/>
        <w:jc w:val="center"/>
      </w:pPr>
      <w:r>
        <w:rPr>
          <w:rFonts w:ascii="Aptos" w:cs="Aptos" w:eastAsia="Aptos" w:hAnsi="Aptos"/>
          <w:b/>
          <w:bCs/>
          <w:i w:val="false"/>
          <w:iCs w:val="false"/>
          <w:color w:val="000000"/>
          <w:sz w:val="36"/>
          <w:szCs w:val="36"/>
        </w:rPr>
        <w:t xml:space="preserve">CONTEXT ANALYSIS REPORT</w:t>
      </w:r>
    </w:p>
    <w:p>
      <w:pPr>
        <w:spacing w:after="32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Report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4.1 — Understanding the Organisation and Its Context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ISMS Initiation (Clause 4), Item 6 of 16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Baseline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Approving Authority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March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March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Scheduled Review</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Annually; also reviewed at each management review cycle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Applicable Programme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HealthSec — ISO/IEC 27001:2022 ISMS Implementation</w:t>
            </w:r>
          </w:p>
        </w:tc>
      </w:tr>
    </w:tbl>
    <w:p>
      <w:pPr>
        <w:spacing w:after="120" w:before="160"/>
      </w:pPr>
      <w:r>
        <w:rPr>
          <w:rFonts w:ascii="Aptos" w:cs="Aptos" w:eastAsia="Aptos" w:hAnsi="Aptos"/>
          <w:b w:val="false"/>
          <w:bCs w:val="false"/>
          <w:i/>
          <w:iCs/>
          <w:color w:val="000000"/>
          <w:sz w:val="24"/>
          <w:szCs w:val="24"/>
        </w:rPr>
        <w:t xml:space="preserve">This document is the property of MediSync Technologies Pvt. Ltd. It is issued under the company's document control process and must not be copied, forwarded or disclosed outside the company without written approval from the Head of GRC &amp; Compliance.</w:t>
      </w:r>
    </w:p>
    <w:p>
      <w:pPr>
        <w:pStyle w:val="Heading1"/>
        <w:spacing w:after="140" w:before="320"/>
      </w:pPr>
      <w:r>
        <w:rPr>
          <w:rFonts w:ascii="Aptos" w:cs="Aptos" w:eastAsia="Aptos" w:hAnsi="Aptos"/>
          <w:b/>
          <w:bCs/>
          <w:i w:val="false"/>
          <w:iCs w:val="false"/>
          <w:color w:val="000000"/>
          <w:sz w:val="36"/>
          <w:szCs w:val="36"/>
        </w:rPr>
        <w:t xml:space="preserve">Document Control</w:t>
      </w:r>
    </w:p>
    <w:p>
      <w:pPr>
        <w:pStyle w:val="Heading2"/>
        <w:spacing w:after="140" w:before="220"/>
      </w:pPr>
      <w:r>
        <w:rPr>
          <w:rFonts w:ascii="Aptos" w:cs="Aptos" w:eastAsia="Aptos" w:hAnsi="Aptos"/>
          <w:b/>
          <w:bCs/>
          <w:i w:val="false"/>
          <w:iCs w:val="false"/>
          <w:color w:val="000000"/>
          <w:sz w:val="32"/>
          <w:szCs w:val="32"/>
        </w:rPr>
        <w:t xml:space="preserve">1. Document Information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Reference Number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Series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 — ISMS Initiation (Clause 4)</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Type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 (Clause 4.1 Evidence)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Owning Function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&amp; GRC</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 Period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plus seven (7) years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Storage Location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GRC Repository &gt; Project HealthSec &gt; Phase 1 — Initiation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Distribution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CISO, Head of Legal, Department Security Champions, External Consulting Team</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Governing Baseline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Company Case Study Document v1.0; ISMS-INI-001 Project Charter v1.0</w:t>
            </w:r>
          </w:p>
        </w:tc>
      </w:tr>
    </w:tbl>
    <w:p>
      <w:pPr>
        <w:pStyle w:val="Heading2"/>
        <w:spacing w:after="140" w:before="220"/>
      </w:pPr>
      <w:r>
        <w:rPr>
          <w:rFonts w:ascii="Aptos" w:cs="Aptos" w:eastAsia="Aptos" w:hAnsi="Aptos"/>
          <w:b/>
          <w:bCs/>
          <w:i w:val="false"/>
          <w:iCs w:val="false"/>
          <w:color w:val="000000"/>
          <w:sz w:val="32"/>
          <w:szCs w:val="32"/>
        </w:rPr>
        <w:t xml:space="preserve">2.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1300"/>
        <w:gridCol w:w="1700"/>
        <w:gridCol w:w="4400"/>
        <w:gridCol w:w="1680"/>
      </w:tblGrid>
      <w:tr>
        <w:trPr>
          <w:cantSplit/>
          <w:tblHeader/>
        </w:trPr>
        <w:tc>
          <w:tcPr>
            <w:tcW w:type="dxa" w:w="1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Version</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 of Change</w:t>
            </w:r>
          </w:p>
        </w:tc>
        <w:tc>
          <w:tcPr>
            <w:tcW w:type="dxa" w:w="1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Feb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Internal and external factors extracted from ISMS-CSD-001.</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applicable</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27 Feb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appetite and maturity baseline added. Issues validated with CISO.</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applicable</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0.3</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context and UAE-specific obligations reviewed.</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applicable</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comments closed. Approved by Steering Committee.</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40" w:before="220"/>
      </w:pPr>
      <w:r>
        <w:rPr>
          <w:rFonts w:ascii="Aptos" w:cs="Aptos" w:eastAsia="Aptos" w:hAnsi="Aptos"/>
          <w:b/>
          <w:bCs/>
          <w:i w:val="false"/>
          <w:iCs w:val="false"/>
          <w:color w:val="000000"/>
          <w:sz w:val="32"/>
          <w:szCs w:val="32"/>
        </w:rPr>
        <w:t xml:space="preserve">3.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Company Case Study Document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Primary source for organisation profile, technology environment and existing problems documented here.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Charter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Section 2 (Background) and Section 10 (Constraints and Assumptions) provide additional context.</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ISMS-INI-007</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SWOT Analysis</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Translates the internal factors in Section 4 into strengths, weaknesses, opportunities and threats.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ISMS-INI-008</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PESTLE Analysis</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Expands the external factors in Section 5 across Political, Economic, Social, Technical, Legal and Environmental dimensions.</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Interested Parties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Records the requirements of the interested parties identified in Section 6.</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&amp; Regulatory Register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jurisdiction-by-jurisdiction obligation mapping that this report summarises.</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Document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Uses the context established here to draw and ratify the ISMS boundary.</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Methodology</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issues and preliminary risks in Section 8 feed directly into the Phase 3 risk methodology.</w:t>
            </w:r>
          </w:p>
        </w:tc>
      </w:tr>
    </w:tbl>
    <w:p>
      <w:pPr>
        <w:pStyle w:val="Heading1"/>
        <w:spacing w:after="140" w:before="200"/>
        <w:jc w:val="center"/>
      </w:pPr>
      <w:r>
        <w:rPr>
          <w:rFonts w:ascii="Aptos" w:cs="Aptos" w:eastAsia="Aptos" w:hAnsi="Aptos"/>
          <w:b/>
          <w:bCs/>
          <w:i w:val="false"/>
          <w:iCs w:val="false"/>
          <w:color w:val="000000"/>
          <w:sz w:val="36"/>
          <w:szCs w:val="36"/>
        </w:rPr>
        <w:t xml:space="preserve">Table of Contents</w:t>
      </w:r>
    </w:p>
    <w:p>
      <w:pPr>
        <w:spacing w:after="16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This report documents the internal and external context of MediSync Technologies Pvt. Ltd. as required by ISO/IEC 27001:2022 Clause 4.1. It establishes the organisational setting within which the ISMS is designed and provides the factual foundation for the ISMS scope (ISMS-INI-011), the interested parties register (ISMS-INI-009) and the Phase 3 risk assessment.</w:t>
      </w:r>
    </w:p>
    <w:p>
      <w:pPr>
        <w:spacing w:after="140" w:before="0"/>
        <w:jc w:val="left"/>
      </w:pPr>
      <w:r>
        <w:rPr>
          <w:rFonts w:ascii="Aptos" w:cs="Aptos" w:eastAsia="Aptos" w:hAnsi="Aptos"/>
          <w:b w:val="false"/>
          <w:bCs w:val="false"/>
          <w:i w:val="false"/>
          <w:iCs w:val="false"/>
          <w:color w:val="000000"/>
          <w:sz w:val="24"/>
          <w:szCs w:val="24"/>
        </w:rPr>
        <w:t xml:space="preserve">The SWOT (ISMS-INI-007) and PESTLE (ISMS-INI-008) analyses are companion documents that analyse this context in structured frameworks; this report is the source record they draw from.</w:t>
      </w:r>
    </w:p>
    <w:p>
      <w:pPr>
        <w:pStyle w:val="Heading1"/>
        <w:spacing w:after="140" w:before="320"/>
      </w:pPr>
      <w:r>
        <w:rPr>
          <w:rFonts w:ascii="Aptos" w:cs="Aptos" w:eastAsia="Aptos" w:hAnsi="Aptos"/>
          <w:b/>
          <w:bCs/>
          <w:i w:val="false"/>
          <w:iCs w:val="false"/>
          <w:color w:val="000000"/>
          <w:sz w:val="36"/>
          <w:szCs w:val="36"/>
        </w:rPr>
        <w:t xml:space="preserve">2. Organisation Overview</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name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Entity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Private Limited Company (India); UAE branch office (Dubai)</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Founded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2018, Bengaluru</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Headcount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~430 across Bengaluru (HQ/GRC), Pune (engineering), Hyderabad (customer success), Dubai (ME sales)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Industry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Healthcare Technology SaaS — clinical and administrative software for hospitals and clinics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180+ healthcare organisations in India and the UAE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Products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HIS-CORE, EHR-CORE, TELE-PLT, PAT-PORTAL, LAB-INT, PHARM-INT, CLAIMS-PLT, API-GW</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Hosting</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ap-south-1 (India data); Azure UAE North (UAE data) — strict residency enforced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Revenue model</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Subscription SaaS; no venture funding beyond early seed; growth funded from recurring revenue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(draft)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information security management system covering the design, development, hosting, and support of MediSync's healthcare SaaS platforms, and the corporate functions that support them, across the Bengaluru, Pune, Hyderabad, and Dubai offices. Ratified in ISMS-INI-011.</w:t>
            </w:r>
          </w:p>
        </w:tc>
      </w:tr>
    </w:tbl>
    <w:p>
      <w:pPr>
        <w:pStyle w:val="Heading2"/>
        <w:spacing w:after="140" w:before="220"/>
      </w:pPr>
      <w:r>
        <w:rPr>
          <w:rFonts w:ascii="Aptos" w:cs="Aptos" w:eastAsia="Aptos" w:hAnsi="Aptos"/>
          <w:b/>
          <w:bCs/>
          <w:i w:val="false"/>
          <w:iCs w:val="false"/>
          <w:color w:val="000000"/>
          <w:sz w:val="32"/>
          <w:szCs w:val="32"/>
        </w:rPr>
        <w:t xml:space="preserve">2.1 Platform architecture — why it matters for context</w:t>
      </w:r>
    </w:p>
    <w:p>
      <w:pPr>
        <w:spacing w:after="140" w:before="0"/>
        <w:jc w:val="left"/>
      </w:pPr>
      <w:r>
        <w:rPr>
          <w:rFonts w:ascii="Aptos" w:cs="Aptos" w:eastAsia="Aptos" w:hAnsi="Aptos"/>
          <w:b w:val="false"/>
          <w:bCs w:val="false"/>
          <w:i w:val="false"/>
          <w:iCs w:val="false"/>
          <w:color w:val="000000"/>
          <w:sz w:val="24"/>
          <w:szCs w:val="24"/>
        </w:rPr>
        <w:t xml:space="preserve">All eight products share a single platform layer: one identity system, one API gateway, one regional data tier per country, one logging/monitoring stack and one backup infrastructure. This is MediSync's key architectural characteristic for the ISMS. A compromise of the shared layer has blast radius across every product and every customer in that region — not just one module. The risk assessment must carry this forward as a structural fact, not just as an individual risk.</w:t>
      </w:r>
    </w:p>
    <w:p>
      <w:pPr>
        <w:spacing w:after="140" w:before="0"/>
        <w:jc w:val="left"/>
      </w:pPr>
      <w:r>
        <w:rPr>
          <w:rFonts w:ascii="Aptos" w:cs="Aptos" w:eastAsia="Aptos" w:hAnsi="Aptos"/>
          <w:b w:val="false"/>
          <w:bCs w:val="false"/>
          <w:i w:val="false"/>
          <w:iCs w:val="false"/>
          <w:color w:val="000000"/>
          <w:sz w:val="24"/>
          <w:szCs w:val="24"/>
        </w:rPr>
        <w:t xml:space="preserve">UAE data and India data are strictly separated at the data-tier and backup levels. The only cross-border data flow at the corporate level involves billing and contract records — not clinical data.</w:t>
      </w:r>
    </w:p>
    <w:p>
      <w:pPr>
        <w:pStyle w:val="Heading1"/>
        <w:spacing w:after="140" w:before="320"/>
      </w:pPr>
      <w:r>
        <w:rPr>
          <w:rFonts w:ascii="Aptos" w:cs="Aptos" w:eastAsia="Aptos" w:hAnsi="Aptos"/>
          <w:b/>
          <w:bCs/>
          <w:i w:val="false"/>
          <w:iCs w:val="false"/>
          <w:color w:val="000000"/>
          <w:sz w:val="36"/>
          <w:szCs w:val="36"/>
        </w:rPr>
        <w:t xml:space="preserve">3. MediSync's Role as Data Processor</w:t>
      </w:r>
    </w:p>
    <w:p>
      <w:pPr>
        <w:spacing w:after="140" w:before="0"/>
        <w:jc w:val="left"/>
      </w:pPr>
      <w:r>
        <w:rPr>
          <w:rFonts w:ascii="Aptos" w:cs="Aptos" w:eastAsia="Aptos" w:hAnsi="Aptos"/>
          <w:b w:val="false"/>
          <w:bCs w:val="false"/>
          <w:i w:val="false"/>
          <w:iCs w:val="false"/>
          <w:color w:val="000000"/>
          <w:sz w:val="24"/>
          <w:szCs w:val="24"/>
        </w:rPr>
        <w:t xml:space="preserve">MediSync does not deliver clinical care. It builds and operates the software that healthcare providers use to deliver, document and bill for care. In most customer contracts MediSync functions as a Data Processor acting on behalf of the hospital or clinic as Data Fiduciary (India, DPDP Act) or Data Controller (UAE, PDPL). This distinction is material for the ISMS scope: MediSync is not accountable for clinical decisions, but is directly accountable for the confidentiality, integrity and availability of clinical and administrative data flowing through its platforms.</w:t>
      </w:r>
    </w:p>
    <w:p>
      <w:pPr>
        <w:spacing w:after="140" w:before="0"/>
        <w:jc w:val="left"/>
      </w:pPr>
      <w:r>
        <w:rPr>
          <w:rFonts w:ascii="Aptos" w:cs="Aptos" w:eastAsia="Aptos" w:hAnsi="Aptos"/>
          <w:b w:val="false"/>
          <w:bCs w:val="false"/>
          <w:i w:val="false"/>
          <w:iCs w:val="false"/>
          <w:color w:val="000000"/>
          <w:sz w:val="24"/>
          <w:szCs w:val="24"/>
        </w:rPr>
        <w:t xml:space="preserve">Information held by MediSync includes patient health records, physician access credentials, insurance claim data, lab and pharmacy integration data, and patient portal contact details. The physician access category is the most consequential for access control design: several thousand physician accounts across the customer base hold credentials capable of viewing full patient records.</w:t>
      </w:r>
    </w:p>
    <w:p>
      <w:pPr>
        <w:pStyle w:val="Heading1"/>
        <w:spacing w:after="140" w:before="320"/>
      </w:pPr>
      <w:r>
        <w:rPr>
          <w:rFonts w:ascii="Aptos" w:cs="Aptos" w:eastAsia="Aptos" w:hAnsi="Aptos"/>
          <w:b/>
          <w:bCs/>
          <w:i w:val="false"/>
          <w:iCs w:val="false"/>
          <w:color w:val="000000"/>
          <w:sz w:val="36"/>
          <w:szCs w:val="36"/>
        </w:rPr>
        <w:t xml:space="preserve">4. Internal Context</w:t>
      </w:r>
    </w:p>
    <w:p>
      <w:pPr>
        <w:pStyle w:val="Heading2"/>
        <w:spacing w:after="140" w:before="220"/>
      </w:pPr>
      <w:r>
        <w:rPr>
          <w:rFonts w:ascii="Aptos" w:cs="Aptos" w:eastAsia="Aptos" w:hAnsi="Aptos"/>
          <w:b/>
          <w:bCs/>
          <w:i w:val="false"/>
          <w:iCs w:val="false"/>
          <w:color w:val="000000"/>
          <w:sz w:val="32"/>
          <w:szCs w:val="32"/>
        </w:rPr>
        <w:t xml:space="preserve">4.1 Governance (current state)</w:t>
      </w:r>
    </w:p>
    <w:p>
      <w:pPr>
        <w:spacing w:after="140" w:before="0"/>
        <w:jc w:val="left"/>
      </w:pPr>
      <w:r>
        <w:rPr>
          <w:rFonts w:ascii="Aptos" w:cs="Aptos" w:eastAsia="Aptos" w:hAnsi="Aptos"/>
          <w:b w:val="false"/>
          <w:bCs w:val="false"/>
          <w:i w:val="false"/>
          <w:iCs w:val="false"/>
          <w:color w:val="000000"/>
          <w:sz w:val="24"/>
          <w:szCs w:val="24"/>
        </w:rPr>
        <w:t xml:space="preserve">MediSync is governed by a five-person Board of Directors chaired by the CEO, with three founders and two independent directors. Below the Board, an executive team of six runs day-to-day operations. At the time of the January 2026 Board decision, there was no named individual or committee accountable for information security as a whole — security decisions defaulted to Engineering or were escalated informally to the CTO. Project HealthSec establishes the ISMS Steering Committee, the CISO role and the ISMS Manager function to close this gap.</w:t>
      </w:r>
    </w:p>
    <w:p>
      <w:pPr>
        <w:pStyle w:val="Heading2"/>
        <w:spacing w:after="140" w:before="220"/>
      </w:pPr>
      <w:r>
        <w:rPr>
          <w:rFonts w:ascii="Aptos" w:cs="Aptos" w:eastAsia="Aptos" w:hAnsi="Aptos"/>
          <w:b/>
          <w:bCs/>
          <w:i w:val="false"/>
          <w:iCs w:val="false"/>
          <w:color w:val="000000"/>
          <w:sz w:val="32"/>
          <w:szCs w:val="32"/>
        </w:rPr>
        <w:t xml:space="preserve">4.2 Current security maturity</w:t>
      </w:r>
    </w:p>
    <w:p>
      <w:pPr>
        <w:spacing w:after="140" w:before="0"/>
        <w:jc w:val="left"/>
      </w:pPr>
      <w:r>
        <w:rPr>
          <w:rFonts w:ascii="Aptos" w:cs="Aptos" w:eastAsia="Aptos" w:hAnsi="Aptos"/>
          <w:b w:val="false"/>
          <w:bCs w:val="false"/>
          <w:i w:val="false"/>
          <w:iCs w:val="false"/>
          <w:color w:val="000000"/>
          <w:sz w:val="24"/>
          <w:szCs w:val="24"/>
        </w:rPr>
        <w:t xml:space="preserve">The following is an informal baseline scored 1 (ad hoc) to 5 (optimised), pending formal validation in the Gap Assessment Report (ISMS-INI-012).</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900"/>
        <w:gridCol w:w="63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Domain</w:t>
            </w:r>
          </w:p>
        </w:tc>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Score</w:t>
            </w:r>
          </w:p>
        </w:tc>
        <w:tc>
          <w:tcPr>
            <w:tcW w:type="dxa" w:w="63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Baseline note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Governance &amp; policy</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6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Policies exist but were authored independently by different departments at different times — inconsistent terminology and scope; at least one contradictory definition of "sensitive data".</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management</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6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has occurred at project level only. No organisational risk register or defined risk appetite until this programme.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Asset management</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6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centralised, current information asset inventory. Engineering, IT Operations and Product each maintain partial lists for their own purposes; none is treated as authoritative.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control</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6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and Microsoft Entra ID in place (a genuine strength). Formal scheduled access reviews are not consistently performed — the most recent full review of hospital-facing admin accounts was over a year old at the Board decision date.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Cryptography</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6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at rest and in transit is already standard practice and a genuine control strength.</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security</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6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Cloud-hosted; office physical security is reasonable but undocumented.</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Operations security</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6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Falcon (EDR) and Microsoft Sentinel (SIEM) deployed and technically capable; monitoring practice is not procedurally mature.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Supplier relationships</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6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security review is inconsistent. At least one vendor with access to backup archives was never formally assessed.</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management</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6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documented incident response plan exists but has never been tested. Both real incidents in the prior 18 months were handled by engineering improvisation, not by following the plan.</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continuity</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6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Backups exist and are region-appropriate. End-to-end DR has not been formally tested; actual RTO is unknown.</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Compliance tracking</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6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and contractual obligations tracked informally, per-deal, rather than centrally.</w:t>
            </w:r>
          </w:p>
        </w:tc>
      </w:tr>
    </w:tbl>
    <w:p>
      <w:pPr>
        <w:pStyle w:val="Heading2"/>
        <w:spacing w:after="140" w:before="220"/>
      </w:pPr>
      <w:r>
        <w:rPr>
          <w:rFonts w:ascii="Aptos" w:cs="Aptos" w:eastAsia="Aptos" w:hAnsi="Aptos"/>
          <w:b/>
          <w:bCs/>
          <w:i w:val="false"/>
          <w:iCs w:val="false"/>
          <w:color w:val="000000"/>
          <w:sz w:val="32"/>
          <w:szCs w:val="32"/>
        </w:rPr>
        <w:t xml:space="preserve">4.3 Existing control strengths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MFA enforced across all staff and customer-facing accounts via Microsoft Entra ID.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Encryption at rest and in transit is standard across all products and environments.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CrowdStrike Falcon (EDR) and Microsoft Sentinel (SIEM) deployed and operational.</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GitHub Enterprise branch protection and code review practice are in place and followed.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Tenable Nessus vulnerability scanning is in use; regional data residency controls are operating correctly.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Six dedicated single-tenant customer environments are isolated at the infrastructure level.</w:t>
      </w:r>
    </w:p>
    <w:p>
      <w:pPr>
        <w:pStyle w:val="Heading2"/>
        <w:spacing w:after="140" w:before="220"/>
      </w:pPr>
      <w:r>
        <w:rPr>
          <w:rFonts w:ascii="Aptos" w:cs="Aptos" w:eastAsia="Aptos" w:hAnsi="Aptos"/>
          <w:b/>
          <w:bCs/>
          <w:i w:val="false"/>
          <w:iCs w:val="false"/>
          <w:color w:val="000000"/>
          <w:sz w:val="32"/>
          <w:szCs w:val="32"/>
        </w:rPr>
        <w:t xml:space="preserve">4.4 Identified internal issues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680"/>
      </w:tblGrid>
      <w:tr>
        <w:trPr>
          <w:cantSplit/>
          <w:tblHeader/>
        </w:trPr>
        <w:tc>
          <w:tcPr>
            <w:tcW w:type="dxa" w:w="3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Issue area</w:t>
            </w:r>
          </w:p>
        </w:tc>
        <w:tc>
          <w:tcPr>
            <w:tcW w:type="dxa" w:w="6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Specific problem</w:t>
            </w:r>
          </w:p>
        </w:tc>
      </w:tr>
      <w:tr>
        <w:trPr>
          <w:cantSplit/>
        </w:trPr>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Governance</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named security owner or committee before January 2026 Board decision. Head of Procurement role currently vacant.</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Policy</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Policies inconsistent across departments; some authored by staff who have left. No single approved owner per policy.</w:t>
            </w:r>
          </w:p>
        </w:tc>
      </w:tr>
      <w:tr>
        <w:trPr>
          <w:cantSplit/>
        </w:trPr>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Asset management</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centralised asset inventory. Engineering, IT Operations and Product each maintain separate partial lists.</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control</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Hospital-facing admin account access reviews overdue by more than a year at the Board decision date. Quarterly review cadence not consistently met.</w:t>
            </w:r>
          </w:p>
        </w:tc>
      </w:tr>
      <w:tr>
        <w:trPr>
          <w:cantSplit/>
        </w:trPr>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management</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organisational risk register. No documented risk appetite until this programme. Risk decisions made informally.</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management</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 least one backup/DR vendor never formally security-assessed. Assessment practice varies by deal rather than following a standard process.</w:t>
            </w:r>
          </w:p>
        </w:tc>
      </w:tr>
      <w:tr>
        <w:trPr>
          <w:cantSplit/>
        </w:trPr>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response</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Plan exists on paper; never tested. Two real incidents handled by improvisation rather than the documented process.</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exists for Engineering only. Customer Success, Sales and Finance — all of which handle sensitive data — have not received formal security awareness training.</w:t>
            </w:r>
          </w:p>
        </w:tc>
      </w:tr>
      <w:tr>
        <w:trPr>
          <w:cantSplit/>
        </w:trPr>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continuity</w:t>
            </w:r>
          </w:p>
        </w:tc>
        <w:tc>
          <w:tcPr>
            <w:tcW w:type="dxa" w:w="6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Backups operational; end-to-end DR not tested. Actual RTO under a real failure scenario is unknown.</w:t>
            </w:r>
          </w:p>
        </w:tc>
      </w:tr>
      <w:tr>
        <w:trPr>
          <w:cantSplit/>
        </w:trPr>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Compliance tracking</w:t>
            </w:r>
          </w:p>
        </w:tc>
        <w:tc>
          <w:tcPr>
            <w:tcW w:type="dxa" w:w="6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obligations (DPDP Act, PDPL, contractual security addenda) tracked per-deal, not centrally.</w:t>
            </w:r>
          </w:p>
        </w:tc>
      </w:tr>
    </w:tbl>
    <w:p>
      <w:pPr>
        <w:pStyle w:val="Heading1"/>
        <w:spacing w:after="140" w:before="320"/>
      </w:pPr>
      <w:r>
        <w:rPr>
          <w:rFonts w:ascii="Aptos" w:cs="Aptos" w:eastAsia="Aptos" w:hAnsi="Aptos"/>
          <w:b/>
          <w:bCs/>
          <w:i w:val="false"/>
          <w:iCs w:val="false"/>
          <w:color w:val="000000"/>
          <w:sz w:val="36"/>
          <w:szCs w:val="36"/>
        </w:rPr>
        <w:t xml:space="preserve">5. External Context</w:t>
      </w:r>
    </w:p>
    <w:p>
      <w:pPr>
        <w:pStyle w:val="Heading2"/>
        <w:spacing w:after="140" w:before="220"/>
      </w:pPr>
      <w:r>
        <w:rPr>
          <w:rFonts w:ascii="Aptos" w:cs="Aptos" w:eastAsia="Aptos" w:hAnsi="Aptos"/>
          <w:b/>
          <w:bCs/>
          <w:i w:val="false"/>
          <w:iCs w:val="false"/>
          <w:color w:val="000000"/>
          <w:sz w:val="32"/>
          <w:szCs w:val="32"/>
        </w:rPr>
        <w:t xml:space="preserve">5.1 Regulatory and legal environment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8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Jurisdiction / Framework</w:t>
            </w:r>
          </w:p>
        </w:tc>
        <w:tc>
          <w:tcPr>
            <w:tcW w:type="dxa" w:w="7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Relevant obligations</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Primary framework for this engagement. All Clauses 4–10 and applicable Annex A controls will be implemented and externally audited.</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2023 (India)</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Governs processing of digital personal data. MediSync acts as Data Processor; obligations include lawful processing, "reasonable security safeguards", breach notification to the Data Protection Board and data principal rights (access, correction). Clinical data treated as high-sensitivity even where the Act does not create a separate special category.</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ABDM / Health Data Management Policy (India)</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Relevant to interoperability and consent-management where MediSync platforms connect into India's digital health ecosystem.</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Telemedicine Practice Guidelines (India)</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Applicable to TELE-PLT consultation and documentation workflows.</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EHR Standards (India)</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Applicable to how EHR-CORE structures and exchanges clinical data.</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Act, 2000 (India)</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Relevant to information security and breach-notification obligations alongside the DPDP Act.</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PDPL (Federal Decree-Law No. 45 of 2021)</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Governs processing of UAE data subjects' personal data. Obligations include consent, data subject rights, cross-border transfer restrictions and DPO appointment where thresholds are met. Healthcare-sector obligations vary by emirate and free zone — mapped per-contract in ISMS-INI-010.</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Contractual obligations</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growing share of enterprise contracts in both countries now include security schedules, breach-notification timelines, right-to-audit clauses and, in a growing number of UAE deals, an explicit ISO/IEC 27001 certification requirement. Full mapping in ISMS-INI-010.</w:t>
            </w:r>
          </w:p>
        </w:tc>
      </w:tr>
    </w:tbl>
    <w:p>
      <w:pPr>
        <w:pStyle w:val="Heading2"/>
        <w:spacing w:after="140" w:before="220"/>
      </w:pPr>
      <w:r>
        <w:rPr>
          <w:rFonts w:ascii="Aptos" w:cs="Aptos" w:eastAsia="Aptos" w:hAnsi="Aptos"/>
          <w:b/>
          <w:bCs/>
          <w:i w:val="false"/>
          <w:iCs w:val="false"/>
          <w:color w:val="000000"/>
          <w:sz w:val="32"/>
          <w:szCs w:val="32"/>
        </w:rPr>
        <w:t xml:space="preserve">5.2 Market and competitive environment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Factor</w:t>
            </w:r>
          </w:p>
        </w:tc>
        <w:tc>
          <w:tcPr>
            <w:tcW w:type="dxa" w:w="7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ISMS-relevant implication</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Mid-market positioning</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competes against larger vendors on the strength of its fit for hospitals too complex for spreadsheets but too small for enterprise contracts. Certification is one of the few ways to compete credibly for larger, more security-conscious accounts without competing on price alone.</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enterprise sales pipeline</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Two named prospects (2025) made ISO/IEC 27001 certification a contractual precondition. A stalled Dubai hospital deal (2024) cost four months of delay because no certifiable asset register or tested incident plan existed. Certification directly unlocks pipeline.</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security questionnaires</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customers increasingly attach security questionnaires and right-to-audit clauses to renewals. MediSync has been answering these individually, by reconstructing evidence under deadline pressure. Certification removes this recurring overhead.</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Healthcare sector sensitivity</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Hospital and clinic customers are themselves subject to data protection obligations and view their technology vendor's security posture as a direct reflection on their own. A breach at MediSync would be reported as a breach affecting patient data.</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Competitive landscape</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Larger HIS/EHR vendors in India and UAE are beginning to acquire certifications. Remaining uncertified is an increasingly visible commercial disadvantage.</w:t>
            </w:r>
          </w:p>
        </w:tc>
      </w:tr>
    </w:tbl>
    <w:p>
      <w:pPr>
        <w:pStyle w:val="Heading2"/>
        <w:spacing w:after="140" w:before="220"/>
      </w:pPr>
      <w:r>
        <w:rPr>
          <w:rFonts w:ascii="Aptos" w:cs="Aptos" w:eastAsia="Aptos" w:hAnsi="Aptos"/>
          <w:b/>
          <w:bCs/>
          <w:i w:val="false"/>
          <w:iCs w:val="false"/>
          <w:color w:val="000000"/>
          <w:sz w:val="32"/>
          <w:szCs w:val="32"/>
        </w:rPr>
        <w:t xml:space="preserve">5.3 Technology and threat environment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Factor</w:t>
            </w:r>
          </w:p>
        </w:tc>
        <w:tc>
          <w:tcPr>
            <w:tcW w:type="dxa" w:w="7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ISMS-relevant implication</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Shared platform architecture</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single identity, API gateway and data tier serving all eight products means a compromise in the shared layer has blast radius across all customers in a region. This is the highest-priority structural risk the ISMS must address.</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hosting (AWS / Azure)</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Operating under a shared responsibility model: MediSync is responsible for everything above the hypervisor. Cloud misconfiguration is a live risk — a storage bucket was found with broader permissions than intended during a routine review. No monitoring alert caught it.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Healthcare data targeting</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Healthcare organisations are among the most frequently targeted sectors for ransomware and credential theft globally. MediSync, as a processor holding records for 180+ providers, is an attractive secondary target.</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 social engineering</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near-miss phishing payment (billing team, 2024) demonstrated real exposure. Awareness training exists for Engineering only; the threat is not department-specific.</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API abuse</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API-GW is the only route by which any product talks to another or to the outside world. Abuse or compromise of the gateway would affect all inter-product data flows.</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Supply chain / third party</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 least one vendor with access to encrypted backup archives has never been formally security-assessed. The MSSP (SentinelWatch) co-manages the SOC and holds SIEM data.</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Shadow IT</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Rapid product growth without a formal sanctioned-tools process creates residual risk from unsanctioned applications, particularly in Sales and Customer Success.</w:t>
            </w:r>
          </w:p>
        </w:tc>
      </w:tr>
    </w:tbl>
    <w:p>
      <w:pPr>
        <w:pStyle w:val="Heading1"/>
        <w:spacing w:after="140" w:before="320"/>
      </w:pPr>
      <w:r>
        <w:rPr>
          <w:rFonts w:ascii="Aptos" w:cs="Aptos" w:eastAsia="Aptos" w:hAnsi="Aptos"/>
          <w:b/>
          <w:bCs/>
          <w:i w:val="false"/>
          <w:iCs w:val="false"/>
          <w:color w:val="000000"/>
          <w:sz w:val="36"/>
          <w:szCs w:val="36"/>
        </w:rPr>
        <w:t xml:space="preserve">6. Interested Parties — Summary</w:t>
      </w:r>
    </w:p>
    <w:p>
      <w:pPr>
        <w:spacing w:after="140" w:before="0"/>
        <w:jc w:val="left"/>
      </w:pPr>
      <w:r>
        <w:rPr>
          <w:rFonts w:ascii="Aptos" w:cs="Aptos" w:eastAsia="Aptos" w:hAnsi="Aptos"/>
          <w:b w:val="false"/>
          <w:bCs w:val="false"/>
          <w:i w:val="false"/>
          <w:iCs w:val="false"/>
          <w:color w:val="000000"/>
          <w:sz w:val="24"/>
          <w:szCs w:val="24"/>
        </w:rPr>
        <w:t xml:space="preserve">Full detail is in ISMS-INI-009. The following are the parties whose requirements have the most direct bearing on ISMS design.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4000"/>
        <w:gridCol w:w="3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Party</w:t>
            </w:r>
          </w:p>
        </w:tc>
        <w:tc>
          <w:tcPr>
            <w:tcW w:type="dxa" w:w="4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Primary interest</w:t>
            </w:r>
          </w:p>
        </w:tc>
        <w:tc>
          <w:tcPr>
            <w:tcW w:type="dxa" w:w="3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design implication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hospital customers</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Assurance that patient data held by MediSync is protected; right-to-audit; certification as a precondition</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 must cover all products and environments those customers touch; evidence must be auditable by third parties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prospects (2 named)</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 certification before contract signature</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timeline drives the 14-month programme schedule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Patients (data subjects)</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Confidentiality, integrity and accuracy of their health records</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classification must treat clinical records as Restricted; access control must be demonstrably enforced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Protection Board of India</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Reasonable security safeguards; breach notification within prescribed timelines</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Breach notification path must be defined, tested and operational before certification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PDPL supervisory authority</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Lawful processing, cross-border transfer controls, DPO appointment where required</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data residency controls and DPO question must be formally addressed in ISMS-INI-010</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Board of Directors</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Investment justified by risk reduction and commercial return</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must produce measurable outcomes (certification, shortened sales cycles, tested IR/DR)</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Employees (~430)</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Clear, workable security requirements; no security theatre</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Policies must be practical; awareness training must reach all departments, not just Engineering</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Cyber insurance provider</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Demonstrable control maturity for policy pricing</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produced by the ISMS directly supports renewal negotiation (objective BO-09)</w:t>
            </w:r>
          </w:p>
        </w:tc>
      </w:tr>
    </w:tbl>
    <w:p>
      <w:pPr>
        <w:pStyle w:val="Heading1"/>
        <w:spacing w:after="140" w:before="320"/>
      </w:pPr>
      <w:r>
        <w:rPr>
          <w:rFonts w:ascii="Aptos" w:cs="Aptos" w:eastAsia="Aptos" w:hAnsi="Aptos"/>
          <w:b/>
          <w:bCs/>
          <w:i w:val="false"/>
          <w:iCs w:val="false"/>
          <w:color w:val="000000"/>
          <w:sz w:val="36"/>
          <w:szCs w:val="36"/>
        </w:rPr>
        <w:t xml:space="preserve">7. Risk Appetite</w:t>
      </w:r>
    </w:p>
    <w:p>
      <w:pPr>
        <w:spacing w:after="140" w:before="0"/>
        <w:jc w:val="left"/>
      </w:pPr>
      <w:r>
        <w:rPr>
          <w:rFonts w:ascii="Aptos" w:cs="Aptos" w:eastAsia="Aptos" w:hAnsi="Aptos"/>
          <w:b w:val="false"/>
          <w:bCs w:val="false"/>
          <w:i w:val="false"/>
          <w:iCs w:val="false"/>
          <w:color w:val="000000"/>
          <w:sz w:val="24"/>
          <w:szCs w:val="24"/>
        </w:rPr>
        <w:t xml:space="preserve">Defined by senior management. Carried into ISMS-PLN-002 Risk Appetite &amp; Criteria Document as the quantitative basis for Phase 3 risk assessment.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Category</w:t>
            </w:r>
          </w:p>
        </w:tc>
        <w:tc>
          <w:tcPr>
            <w:tcW w:type="dxa" w:w="7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Appetite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information (Restricted-classified)</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 Any risk rated High or above requires Steering Committee visibility and a documented treatment decision.</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non-compliance (ISO 27001, DPDP Act, UAE PDPL)</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 Compliance gaps must be closed; none may be accepted without Steering Committee approval.</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risk with effective existing controls</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Moderate. Residual risk may be formally accepted where mitigating controls exist and the residual is documented.</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Insider misuse or external cyberattack on production systems</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Very low. These scenarios require dedicated preventive and detective controls regardless of likelihood rating.</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Verbal or informal risk acceptance</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permitted once the ISMS is operational. All risk acceptance decisions must be documented.</w:t>
            </w:r>
          </w:p>
        </w:tc>
      </w:tr>
    </w:tbl>
    <w:p>
      <w:pPr>
        <w:pStyle w:val="Heading1"/>
        <w:spacing w:after="140" w:before="320"/>
      </w:pPr>
      <w:r>
        <w:rPr>
          <w:rFonts w:ascii="Aptos" w:cs="Aptos" w:eastAsia="Aptos" w:hAnsi="Aptos"/>
          <w:b/>
          <w:bCs/>
          <w:i w:val="false"/>
          <w:iCs w:val="false"/>
          <w:color w:val="000000"/>
          <w:sz w:val="36"/>
          <w:szCs w:val="36"/>
        </w:rPr>
        <w:t xml:space="preserve">8. Preliminary Issues for Phase 3 Risk Assessment</w:t>
      </w:r>
    </w:p>
    <w:p>
      <w:pPr>
        <w:spacing w:after="140" w:before="0"/>
        <w:jc w:val="left"/>
      </w:pPr>
      <w:r>
        <w:rPr>
          <w:rFonts w:ascii="Aptos" w:cs="Aptos" w:eastAsia="Aptos" w:hAnsi="Aptos"/>
          <w:b w:val="false"/>
          <w:bCs w:val="false"/>
          <w:i w:val="false"/>
          <w:iCs w:val="false"/>
          <w:color w:val="000000"/>
          <w:sz w:val="24"/>
          <w:szCs w:val="24"/>
        </w:rPr>
        <w:t xml:space="preserve">The following issues, drawn from Sections 4 and 5, are carried forward as inputs to ISMS-PLN-004 Risk Register. This is a preview, not a risk assessment. Full assessment — with likelihood, impact and treatment — is a Phase 3 deliverable.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2200"/>
        <w:gridCol w:w="3600"/>
        <w:gridCol w:w="1000"/>
        <w:gridCol w:w="2280"/>
      </w:tblGrid>
      <w:tr>
        <w:trPr>
          <w:cantSplit/>
          <w:tblHeader/>
        </w:trPr>
        <w:tc>
          <w:tcPr>
            <w:tcW w:type="dxa" w:w="1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ID</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Issue</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Source</w:t>
            </w:r>
          </w:p>
        </w:tc>
        <w:tc>
          <w:tcPr>
            <w:tcW w:type="dxa" w:w="1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Prelim. Rating</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Primary Owner</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RISK-PRE-01</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Compromise of shared identity/API gateway layer affecting multiple products simultaneously</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Architecture — Section 4.1 / 5.3</w:t>
            </w:r>
          </w:p>
        </w:tc>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 CTO</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RISK-PRE-02</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leading to credential compromise or fraudulent payment (near-miss occurred)</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incident history — Section 4.4</w:t>
            </w:r>
          </w:p>
        </w:tc>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RISK-PRE-03</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misconfiguration exposing sensitive data (near-miss occurred)</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incident history — Section 4.4</w:t>
            </w:r>
          </w:p>
        </w:tc>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Head of Cloud Infra</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RISK-PRE-04</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Stale access rights on hospital-facing admin accounts from inconsistent access reviews</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control — Section 4.2</w:t>
            </w:r>
          </w:p>
        </w:tc>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RISK-PRE-05</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Untested incident response plan failing under a real event</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management — Section 4.4</w:t>
            </w:r>
          </w:p>
        </w:tc>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Medium-High</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RISK-PRE-06</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Untested DR leading to unknown RTO and potential data loss in a real failure</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continuity — Section 4.4</w:t>
            </w:r>
          </w:p>
        </w:tc>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Medium-High</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Head of Cloud Infra</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RISK-PRE-07</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Unassessed third-party vendor (backup/DR provider) experiencing a breach affecting MediSync data</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Vendor management — Section 4.4</w:t>
            </w:r>
          </w:p>
        </w:tc>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Medium-High</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(interim, pending Procurement hire)</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RISK-PRE-08</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non-compliance (DPDP Act / UAE PDPL) surfaced during a customer or regulator review</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 Section 5.1</w:t>
            </w:r>
          </w:p>
        </w:tc>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Medium-High</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Head of Legal</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RISK-PRE-09</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Social engineering success due to inconsistent awareness outside Engineering</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 Section 4.4</w:t>
            </w:r>
          </w:p>
        </w:tc>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RISK-PRE-10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Loss of enterprise sales from inability to demonstrate certification or documented controls</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Market — Section 5.2</w:t>
            </w:r>
          </w:p>
        </w:tc>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Karan Bhatia, Head of Sales</w:t>
            </w:r>
          </w:p>
        </w:tc>
      </w:tr>
    </w:tbl>
    <w:p>
      <w:pPr>
        <w:pStyle w:val="Heading1"/>
        <w:spacing w:after="140" w:before="320"/>
      </w:pPr>
      <w:r>
        <w:rPr>
          <w:rFonts w:ascii="Aptos" w:cs="Aptos" w:eastAsia="Aptos" w:hAnsi="Aptos"/>
          <w:b/>
          <w:bCs/>
          <w:i w:val="false"/>
          <w:iCs w:val="false"/>
          <w:color w:val="000000"/>
          <w:sz w:val="36"/>
          <w:szCs w:val="36"/>
        </w:rPr>
        <w:t xml:space="preserve">9. Conclusion</w:t>
      </w:r>
    </w:p>
    <w:p>
      <w:pPr>
        <w:spacing w:after="140" w:before="0"/>
        <w:jc w:val="left"/>
      </w:pPr>
      <w:r>
        <w:rPr>
          <w:rFonts w:ascii="Aptos" w:cs="Aptos" w:eastAsia="Aptos" w:hAnsi="Aptos"/>
          <w:b w:val="false"/>
          <w:bCs w:val="false"/>
          <w:i w:val="false"/>
          <w:iCs w:val="false"/>
          <w:color w:val="000000"/>
          <w:sz w:val="24"/>
          <w:szCs w:val="24"/>
        </w:rPr>
        <w:t xml:space="preserve">MediSync operates in a context that makes the ISMS both urgent and achievable. The urgency comes from the combination of real security incidents already behind it, active regulatory pressure in two jurisdictions, and direct commercial consequences from the absence of certification. The achievability comes from genuine control strengths — MFA, encryption, EDR and SIEM are all operational — that the ISMS formalises and evidences rather than rebuilds from scratch.</w:t>
      </w:r>
    </w:p>
    <w:p>
      <w:pPr>
        <w:spacing w:after="140" w:before="0"/>
        <w:jc w:val="left"/>
      </w:pPr>
      <w:r>
        <w:rPr>
          <w:rFonts w:ascii="Aptos" w:cs="Aptos" w:eastAsia="Aptos" w:hAnsi="Aptos"/>
          <w:b w:val="false"/>
          <w:bCs w:val="false"/>
          <w:i w:val="false"/>
          <w:iCs w:val="false"/>
          <w:color w:val="000000"/>
          <w:sz w:val="24"/>
          <w:szCs w:val="24"/>
        </w:rPr>
        <w:t xml:space="preserve">The dominant structural risk is the shared platform architecture. Every material security decision in Phase 3 — risk scoring, control selection, scope boundary — must be read through this lens: a failure in identity, the API gateway or the regional data tier is a failure that affects all customers, not just one.</w:t>
      </w:r>
    </w:p>
    <w:p>
      <w:pPr>
        <w:spacing w:after="140" w:before="0"/>
        <w:jc w:val="left"/>
      </w:pPr>
      <w:r>
        <w:rPr>
          <w:rFonts w:ascii="Aptos" w:cs="Aptos" w:eastAsia="Aptos" w:hAnsi="Aptos"/>
          <w:b w:val="false"/>
          <w:bCs w:val="false"/>
          <w:i w:val="false"/>
          <w:iCs w:val="false"/>
          <w:color w:val="000000"/>
          <w:sz w:val="24"/>
          <w:szCs w:val="24"/>
        </w:rPr>
        <w:t xml:space="preserve">This context analysis is the baseline against which changes in MediSync's operating environment will be tracked at each annual management review.</w:t>
      </w:r>
    </w:p>
    <w:p>
      <w:pPr>
        <w:pStyle w:val="Heading1"/>
        <w:spacing w:after="140" w:before="320"/>
      </w:pPr>
      <w:r>
        <w:rPr>
          <w:rFonts w:ascii="Aptos" w:cs="Aptos" w:eastAsia="Aptos" w:hAnsi="Aptos"/>
          <w:b/>
          <w:bCs/>
          <w:i w:val="false"/>
          <w:iCs w:val="false"/>
          <w:color w:val="000000"/>
          <w:sz w:val="36"/>
          <w:szCs w:val="36"/>
        </w:rPr>
        <w:t xml:space="preserve">10.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Prepared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issues and maturity baseline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context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 2026</w:t>
            </w:r>
          </w:p>
        </w:tc>
      </w:tr>
    </w:tbl>
    <w:p>
      <w:pPr>
        <w:keepNext/>
        <w:spacing w:after="80" w:before="32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200"/>
      </w:pPr>
      <w:r>
        <w:rPr>
          <w:rFonts w:ascii="Aptos" w:cs="Aptos" w:eastAsia="Aptos" w:hAnsi="Aptos"/>
          <w:b w:val="false"/>
          <w:bCs w:val="false"/>
          <w:i/>
          <w:iCs/>
          <w:color w:val="000000"/>
          <w:sz w:val="24"/>
          <w:szCs w:val="24"/>
        </w:rPr>
        <w:t xml:space="preserve">Ananya Rao, Chief Executive Officer and Chair, ISMS Steering Committee,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ISMS-INI-006  |  Context Analysis Report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2026-08-23T13:23:17.245Z</dcterms:created>
  <dcterms:modified xsi:type="dcterms:W3CDTF">2026-08-23T13:23:17.258Z</dcterms:modified>
</cp:coreProperties>
</file>

<file path=docProps/custom.xml><?xml version="1.0" encoding="utf-8"?>
<Properties xmlns="http://schemas.openxmlformats.org/officeDocument/2006/custom-properties" xmlns:vt="http://schemas.openxmlformats.org/officeDocument/2006/docPropsVTypes"/>
</file>