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40"/>
        <w:jc w:val="center"/>
      </w:pPr>
      <w:r>
        <w:rPr>
          <w:rFonts w:ascii="Aptos" w:cs="Aptos" w:eastAsia="Aptos" w:hAnsi="Aptos"/>
          <w:b w:val="false"/>
          <w:bCs w:val="false"/>
          <w:i/>
          <w:iCs/>
          <w:color w:val="000000"/>
          <w:sz w:val="24"/>
          <w:szCs w:val="24"/>
        </w:rPr>
        <w:t xml:space="preserve">Bengaluru  |  Pune  |  Hyderabad  |  Dubai</w:t>
      </w:r>
    </w:p>
    <w:p>
      <w:pPr>
        <w:spacing w:after="80" w:before="200"/>
        <w:jc w:val="center"/>
      </w:pPr>
      <w:r>
        <w:rPr>
          <w:rFonts w:ascii="Aptos" w:cs="Aptos" w:eastAsia="Aptos" w:hAnsi="Aptos"/>
          <w:b/>
          <w:bCs/>
          <w:i w:val="false"/>
          <w:iCs w:val="false"/>
          <w:color w:val="000000"/>
          <w:sz w:val="36"/>
          <w:szCs w:val="36"/>
        </w:rPr>
        <w:t xml:space="preserve">ISMS SCOPE DOCUMENT</w:t>
      </w:r>
    </w:p>
    <w:p>
      <w:pPr>
        <w:spacing w:after="32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 Document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ISMS-INI-011</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4.3 — Determining the Scope of the Information Security Management System</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 — ISMS Initiation (Clause 4), Item 11 of 16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Baseline Scope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Approving Authority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 chaired by Ananya Rao — Chief Executive Officer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March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March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Next Scheduled Review</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Annually; and immediately on any change to products, infrastructure, jurisdictions or material third-party arrangements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Applicable Programme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Project HealthSec — ISO/IEC 27001:2022 ISMS Implementation</w:t>
            </w:r>
          </w:p>
        </w:tc>
      </w:tr>
    </w:tbl>
    <w:p>
      <w:pPr>
        <w:spacing w:after="120" w:before="160"/>
      </w:pPr>
      <w:r>
        <w:rPr>
          <w:rFonts w:ascii="Aptos" w:cs="Aptos" w:eastAsia="Aptos" w:hAnsi="Aptos"/>
          <w:b w:val="false"/>
          <w:bCs w:val="false"/>
          <w:i/>
          <w:iCs/>
          <w:color w:val="000000"/>
          <w:sz w:val="24"/>
          <w:szCs w:val="24"/>
        </w:rPr>
        <w:t xml:space="preserve">This document is the property of MediSync Technologies Pvt. Ltd. It is issued under the company's document control process and must not be copied, forwarded or disclosed outside the company without written approval from the Head of GRC &amp; Compliance.</w:t>
      </w:r>
    </w:p>
    <w:p>
      <w:pPr>
        <w:pStyle w:val="Heading1"/>
        <w:spacing w:after="140" w:before="320"/>
      </w:pPr>
      <w:r>
        <w:rPr>
          <w:rFonts w:ascii="Aptos" w:cs="Aptos" w:eastAsia="Aptos" w:hAnsi="Aptos"/>
          <w:b/>
          <w:bCs/>
          <w:i w:val="false"/>
          <w:iCs w:val="false"/>
          <w:color w:val="000000"/>
          <w:sz w:val="36"/>
          <w:szCs w:val="36"/>
        </w:rPr>
        <w:t xml:space="preserve">Document Control</w:t>
      </w:r>
    </w:p>
    <w:p>
      <w:pPr>
        <w:pStyle w:val="Heading2"/>
        <w:spacing w:after="140" w:before="220"/>
      </w:pPr>
      <w:r>
        <w:rPr>
          <w:rFonts w:ascii="Aptos" w:cs="Aptos" w:eastAsia="Aptos" w:hAnsi="Aptos"/>
          <w:b/>
          <w:bCs/>
          <w:i w:val="false"/>
          <w:iCs w:val="false"/>
          <w:color w:val="000000"/>
          <w:sz w:val="32"/>
          <w:szCs w:val="32"/>
        </w:rPr>
        <w:t xml:space="preserve">1. Document Information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Reference Number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ISMS-INI-011</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Series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 — ISMS Initiation (Clause 4)</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Type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Scope Statement (Clause 4.3 Mandatory Document)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Owning Function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Security &amp; GRC</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Retention Period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Life of the ISMS plus seven (7) years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Storage Location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GRC Repository &gt; Project HealthSec &gt; Phase 1 — Initiation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Distribution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 CISO, all Department Security Champions, Certification Body (at Stage 1)</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Governing Baseline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ISMS-INI-006 Context Analysis Report v1.0; ISMS-INI-008 PESTLE Analysis v1.0; ISMS-INI-010 Legal &amp; Regulatory Register v1.0</w:t>
            </w:r>
          </w:p>
        </w:tc>
      </w:tr>
    </w:tbl>
    <w:p>
      <w:pPr>
        <w:pStyle w:val="Heading2"/>
        <w:spacing w:after="140" w:before="220"/>
      </w:pPr>
      <w:r>
        <w:rPr>
          <w:rFonts w:ascii="Aptos" w:cs="Aptos" w:eastAsia="Aptos" w:hAnsi="Aptos"/>
          <w:b/>
          <w:bCs/>
          <w:i w:val="false"/>
          <w:iCs w:val="false"/>
          <w:color w:val="000000"/>
          <w:sz w:val="32"/>
          <w:szCs w:val="32"/>
        </w:rPr>
        <w:t xml:space="preserve">2.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000"/>
        <w:gridCol w:w="1300"/>
        <w:gridCol w:w="1700"/>
        <w:gridCol w:w="4400"/>
        <w:gridCol w:w="1680"/>
      </w:tblGrid>
      <w:tr>
        <w:trPr>
          <w:cantSplit/>
          <w:tblHeader/>
        </w:trPr>
        <w:tc>
          <w:tcPr>
            <w:tcW w:type="dxa" w:w="1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Version</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 of Change</w:t>
            </w:r>
          </w:p>
        </w:tc>
        <w:tc>
          <w:tcPr>
            <w:tcW w:type="dxa" w:w="1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Feb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In-scope boundaries proposed based on ISMS-INI-006 context analysis.</w:t>
            </w:r>
          </w:p>
        </w:tc>
        <w:tc>
          <w:tcPr>
            <w:tcW w:type="dxa" w:w="1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applicable</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0.2</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Mar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Exclusions justified; interface map added; ABDM and UAE free-zone boundaries confirmed.</w:t>
            </w:r>
          </w:p>
        </w:tc>
        <w:tc>
          <w:tcPr>
            <w:tcW w:type="dxa" w:w="1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applicable</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0.3</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Mar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boundaries (cloud, network, DevSecOps) reviewed and confirmed.</w:t>
            </w:r>
          </w:p>
        </w:tc>
        <w:tc>
          <w:tcPr>
            <w:tcW w:type="dxa" w:w="1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applicable</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0.4</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 Mar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jurisdictional boundary and regulatory scope confirmed.</w:t>
            </w:r>
          </w:p>
        </w:tc>
        <w:tc>
          <w:tcPr>
            <w:tcW w:type="dxa" w:w="1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applicable</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Mar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Final review comments closed. Approved by Steering Committee as baseline scope.</w:t>
            </w:r>
          </w:p>
        </w:tc>
        <w:tc>
          <w:tcPr>
            <w:tcW w:type="dxa" w:w="1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r>
    </w:tbl>
    <w:p>
      <w:pPr>
        <w:pStyle w:val="Heading2"/>
        <w:spacing w:after="140" w:before="220"/>
      </w:pPr>
      <w:r>
        <w:rPr>
          <w:rFonts w:ascii="Aptos" w:cs="Aptos" w:eastAsia="Aptos" w:hAnsi="Aptos"/>
          <w:b/>
          <w:bCs/>
          <w:i w:val="false"/>
          <w:iCs w:val="false"/>
          <w:color w:val="000000"/>
          <w:sz w:val="32"/>
          <w:szCs w:val="32"/>
        </w:rPr>
        <w:t xml:space="preserve">3.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ISMS-INI-006</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Context Analysis Report</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Provides the internal and external context on which this scope is based. Must be consistent with Section 4 of this document.</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ISMS-INI-008</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PESTLE Analysis</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Technology and legal factors that shape the technical and jurisdictional boundaries in Sections 5 and 7.</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ISMS-INI-009</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Interested Parties Register</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Interested parties whose requirements influenced scope decisions, particularly enterprise customers and regulators.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&amp; Regulatory Register</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obligations (DPDP Act, UAE PDPL, CERT-In) that mandate certain elements be within scope.</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ISMS-PLN-003</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Asset Register</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Enumerates assets within this scope. Must not include assets this document excludes.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ISMS-PLN-006</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Statement of Applicability</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Annex A controls are selected against this scope. Scope changes require SoA review.</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Company Case Study Document</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Source of the product architecture and infrastructure descriptions in Sections 4 and 5.</w:t>
            </w:r>
          </w:p>
        </w:tc>
      </w:tr>
    </w:tbl>
    <w:p>
      <w:pPr>
        <w:pStyle w:val="Heading1"/>
        <w:spacing w:after="140" w:before="200"/>
        <w:jc w:val="center"/>
      </w:pPr>
      <w:r>
        <w:rPr>
          <w:rFonts w:ascii="Aptos" w:cs="Aptos" w:eastAsia="Aptos" w:hAnsi="Aptos"/>
          <w:b/>
          <w:bCs/>
          <w:i w:val="false"/>
          <w:iCs w:val="false"/>
          <w:color w:val="000000"/>
          <w:sz w:val="36"/>
          <w:szCs w:val="36"/>
        </w:rPr>
        <w:t xml:space="preserve">Table of Contents</w:t>
      </w:r>
    </w:p>
    <w:p>
      <w:pPr>
        <w:spacing w:after="16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This document defines the boundary of the MediSync Information Security Management System as required by ISO/IEC 27001:2022 Clause 4.3. It establishes what is inside the ISMS — and therefore subject to its controls, audits and management reviews — and what is outside it, with explicit justification for every exclusion.</w:t>
      </w:r>
    </w:p>
    <w:p>
      <w:pPr>
        <w:spacing w:after="140" w:before="0"/>
        <w:jc w:val="left"/>
      </w:pPr>
      <w:r>
        <w:rPr>
          <w:rFonts w:ascii="Aptos" w:cs="Aptos" w:eastAsia="Aptos" w:hAnsi="Aptos"/>
          <w:b w:val="false"/>
          <w:bCs w:val="false"/>
          <w:i w:val="false"/>
          <w:iCs w:val="false"/>
          <w:color w:val="000000"/>
          <w:sz w:val="24"/>
          <w:szCs w:val="24"/>
        </w:rPr>
        <w:t xml:space="preserve">The scope is the foundation of the ISMS. Every subsequent document in this series — the asset register, the risk register, the Statement of Applicability, the internal audit programme and the certification application — operates within the boundary set here. Any change to this scope requires a reissue of this document and a review of all documents that reference it.</w:t>
      </w:r>
    </w:p>
    <w:p>
      <w:pPr>
        <w:pStyle w:val="Heading1"/>
        <w:spacing w:after="140" w:before="320"/>
      </w:pPr>
      <w:r>
        <w:rPr>
          <w:rFonts w:ascii="Aptos" w:cs="Aptos" w:eastAsia="Aptos" w:hAnsi="Aptos"/>
          <w:b/>
          <w:bCs/>
          <w:i w:val="false"/>
          <w:iCs w:val="false"/>
          <w:color w:val="000000"/>
          <w:sz w:val="36"/>
          <w:szCs w:val="36"/>
        </w:rPr>
        <w:t xml:space="preserve">2. The Scope Statement</w:t>
      </w:r>
    </w:p>
    <w:p>
      <w:pPr>
        <w:spacing w:after="140" w:before="0"/>
        <w:jc w:val="left"/>
      </w:pPr>
      <w:r>
        <w:rPr>
          <w:rFonts w:ascii="Aptos" w:cs="Aptos" w:eastAsia="Aptos" w:hAnsi="Aptos"/>
          <w:b w:val="false"/>
          <w:bCs w:val="false"/>
          <w:i w:val="false"/>
          <w:iCs w:val="false"/>
          <w:color w:val="000000"/>
          <w:sz w:val="24"/>
          <w:szCs w:val="24"/>
        </w:rPr>
        <w:t xml:space="preserve">The following is the ratified ISMS scope statement for use in the certification application (ISMS-ST1-001) and all audit communications: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0080"/>
      </w:tblGrid>
      <w:tr>
        <w:tc>
          <w:tcPr>
            <w:tcW w:type="dxa" w:w="10080"/>
            <w:tcBorders>
              <w:top w:val="single" w:color="2E75B6" w:sz="8"/>
              <w:left w:val="single" w:color="2E75B6" w:sz="8"/>
              <w:bottom w:val="single" w:color="2E75B6" w:sz="8"/>
              <w:right w:val="single" w:color="2E75B6" w:sz="8"/>
            </w:tcBorders>
            <w:shd w:fill="DDEBF7" w:color="auto" w:val="clear"/>
            <w:tcMar>
              <w:top w:type="dxa" w:w="200"/>
              <w:left w:type="dxa" w:w="240"/>
              <w:bottom w:type="dxa" w:w="200"/>
              <w:right w:type="dxa" w:w="240"/>
            </w:tcMar>
          </w:tcPr>
          <w:p>
            <w:pPr>
              <w:spacing w:after="100"/>
            </w:pPr>
            <w:r>
              <w:rPr>
                <w:rFonts w:ascii="Aptos" w:cs="Aptos" w:eastAsia="Aptos" w:hAnsi="Aptos"/>
                <w:b/>
                <w:bCs/>
                <w:i w:val="false"/>
                <w:iCs w:val="false"/>
                <w:color w:val="000000"/>
                <w:sz w:val="24"/>
                <w:szCs w:val="24"/>
              </w:rPr>
              <w:t xml:space="preserve">The information security management system covering the design, development, hosting, operation and support of MediSync Technologies Pvt. Ltd.'s healthcare SaaS platform and products — comprising HIS-CORE, EHR-CORE, TELE-PLT, PAT-PORTAL, LAB-INT, PHARM-INT, CLAIMS-PLT and API-GW — and the corporate functions that support them, across the Bengaluru, Pune, Hyderabad and Dubai offices.</w:t>
            </w:r>
          </w:p>
          <w:p>
            <w:pPr>
              <w:spacing w:after="100"/>
            </w:pPr>
            <w:r>
              <w:rPr>
                <w:rFonts w:ascii="Aptos" w:cs="Aptos" w:eastAsia="Aptos" w:hAnsi="Aptos"/>
                <w:b w:val="false"/>
                <w:bCs w:val="false"/>
                <w:i w:val="false"/>
                <w:iCs w:val="false"/>
                <w:color w:val="000000"/>
                <w:sz w:val="24"/>
                <w:szCs w:val="24"/>
              </w:rPr>
              <w:t xml:space="preserve">The scope encompasses the shared platform layer (identity, API gateway, monitoring, logging, backup and disaster recovery infrastructure) on which all products operate; the cloud hosting environments (AWS ap-south-1 for India-region data and Microsoft Azure UAE North for UAE-region data); all production, staging and development environments; the Security Operations Centre function; and the information assets processed within these environments, including patient health records, physician access credentials, insurance claim data, integration data, and patient portal contact details.</w:t>
            </w:r>
          </w:p>
          <w:p>
            <w:pPr>
              <w:spacing w:after="0"/>
            </w:pPr>
            <w:r>
              <w:rPr>
                <w:rFonts w:ascii="Aptos" w:cs="Aptos" w:eastAsia="Aptos" w:hAnsi="Aptos"/>
                <w:b w:val="false"/>
                <w:bCs w:val="false"/>
                <w:i w:val="false"/>
                <w:iCs w:val="false"/>
                <w:color w:val="000000"/>
                <w:sz w:val="24"/>
                <w:szCs w:val="24"/>
              </w:rPr>
              <w:t xml:space="preserve">The scope includes MediSync's operations in both India and the United Arab Emirates, and the regulatory obligations applicable in each jurisdiction.</w:t>
            </w:r>
          </w:p>
        </w:tc>
      </w:tr>
    </w:tbl>
    <w:p>
      <w:pPr>
        <w:spacing w:after="140" w:before="120"/>
        <w:jc w:val="left"/>
      </w:pPr>
      <w:r>
        <w:rPr>
          <w:rFonts w:ascii="Aptos" w:cs="Aptos" w:eastAsia="Aptos" w:hAnsi="Aptos"/>
          <w:b w:val="false"/>
          <w:bCs w:val="false"/>
          <w:i w:val="false"/>
          <w:iCs w:val="false"/>
          <w:color w:val="000000"/>
          <w:sz w:val="24"/>
          <w:szCs w:val="24"/>
        </w:rPr>
        <w:t xml:space="preserve">This statement is intentionally complete. It is designed to answer a certification body's first question — "what does the ISMS cover?" — without ambiguity.</w:t>
      </w:r>
    </w:p>
    <w:p>
      <w:pPr>
        <w:pStyle w:val="Heading1"/>
        <w:spacing w:after="140" w:before="320"/>
      </w:pPr>
      <w:r>
        <w:rPr>
          <w:rFonts w:ascii="Aptos" w:cs="Aptos" w:eastAsia="Aptos" w:hAnsi="Aptos"/>
          <w:b/>
          <w:bCs/>
          <w:i w:val="false"/>
          <w:iCs w:val="false"/>
          <w:color w:val="000000"/>
          <w:sz w:val="36"/>
          <w:szCs w:val="36"/>
        </w:rPr>
        <w:t xml:space="preserve">3. Context Basis for This Scope</w:t>
      </w:r>
    </w:p>
    <w:p>
      <w:pPr>
        <w:spacing w:after="140" w:before="0"/>
        <w:jc w:val="left"/>
      </w:pPr>
      <w:r>
        <w:rPr>
          <w:rFonts w:ascii="Aptos" w:cs="Aptos" w:eastAsia="Aptos" w:hAnsi="Aptos"/>
          <w:b w:val="false"/>
          <w:bCs w:val="false"/>
          <w:i w:val="false"/>
          <w:iCs w:val="false"/>
          <w:color w:val="000000"/>
          <w:sz w:val="24"/>
          <w:szCs w:val="24"/>
        </w:rPr>
        <w:t xml:space="preserve">The scope is determined by the following context factors, documented in ISMS-INI-006 and ISMS-INI-008.</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680"/>
      </w:tblGrid>
      <w:tr>
        <w:trPr>
          <w:cantSplit/>
          <w:tblHeader/>
        </w:trPr>
        <w:tc>
          <w:tcPr>
            <w:tcW w:type="dxa" w:w="3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Context factor</w:t>
            </w:r>
          </w:p>
        </w:tc>
        <w:tc>
          <w:tcPr>
            <w:tcW w:type="dxa" w:w="6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How it shaped the scope</w:t>
            </w:r>
          </w:p>
        </w:tc>
      </w:tr>
      <w:tr>
        <w:trPr>
          <w:cantSplit/>
        </w:trPr>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Shared platform architecture</w:t>
            </w:r>
          </w:p>
        </w:tc>
        <w:tc>
          <w:tcPr>
            <w:tcW w:type="dxa" w:w="6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eight products share one identity layer, one API gateway and one regional data tier. Scoping any product in isolation would be meaningless — a risk in the shared layer affects every product. The scope therefore covers the shared layer explicitly, not just the products that sit on top of it.</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Two-jurisdiction operation</w:t>
            </w:r>
          </w:p>
        </w:tc>
        <w:tc>
          <w:tcPr>
            <w:tcW w:type="dxa" w:w="6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operates in India and the UAE, with separate cloud regions for data residency. Regulatory obligations (DPDP Act and CERT-In in India; UAE PDPL in UAE) apply in both. The scope covers both jurisdictions.</w:t>
            </w:r>
          </w:p>
        </w:tc>
      </w:tr>
      <w:tr>
        <w:trPr>
          <w:cantSplit/>
        </w:trPr>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Healthcare data sensitivity</w:t>
            </w:r>
          </w:p>
        </w:tc>
        <w:tc>
          <w:tcPr>
            <w:tcW w:type="dxa" w:w="6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Patient health records, physician credentials and insurance claim data are among the most sensitive personal data categories in either jurisdiction. A scope that excluded any system touching this data would be indefensible to a regulator or enterprise customer.</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Enterprise customer requirements</w:t>
            </w:r>
          </w:p>
        </w:tc>
        <w:tc>
          <w:tcPr>
            <w:tcW w:type="dxa" w:w="6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Enterprise contracts and certification preconditions from UAE prospects require that the scope covers the environments and products those customers use. No customer-facing product or its supporting infrastructure may be excluded.</w:t>
            </w:r>
          </w:p>
        </w:tc>
      </w:tr>
      <w:tr>
        <w:trPr>
          <w:cantSplit/>
        </w:trPr>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obligations</w:t>
            </w:r>
          </w:p>
        </w:tc>
        <w:tc>
          <w:tcPr>
            <w:tcW w:type="dxa" w:w="6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CERT-In Rules, UAE PDPL and contractual security schedules create obligations that apply across all products and both regions. A narrower scope would leave unaddressed obligations that regulators and customers will ask about.</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processor role</w:t>
            </w:r>
          </w:p>
        </w:tc>
        <w:tc>
          <w:tcPr>
            <w:tcW w:type="dxa" w:w="6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acts as Data Processor for its customers. The processor's ISMS must cover everything the processor does with the Fiduciary's data — all products, all environments, all support functions that touch the data.</w:t>
            </w:r>
          </w:p>
        </w:tc>
      </w:tr>
    </w:tbl>
    <w:p>
      <w:pPr>
        <w:pStyle w:val="Heading1"/>
        <w:spacing w:after="140" w:before="320"/>
      </w:pPr>
      <w:r>
        <w:rPr>
          <w:rFonts w:ascii="Aptos" w:cs="Aptos" w:eastAsia="Aptos" w:hAnsi="Aptos"/>
          <w:b/>
          <w:bCs/>
          <w:i w:val="false"/>
          <w:iCs w:val="false"/>
          <w:color w:val="000000"/>
          <w:sz w:val="36"/>
          <w:szCs w:val="36"/>
        </w:rPr>
        <w:t xml:space="preserve">4. In-Scope Products and Services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600"/>
        <w:gridCol w:w="5480"/>
      </w:tblGrid>
      <w:tr>
        <w:trPr>
          <w:cantSplit/>
          <w:tblHeader/>
        </w:trPr>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Product / Service</w:t>
            </w:r>
          </w:p>
        </w:tc>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Function</w:t>
            </w:r>
          </w:p>
        </w:tc>
        <w:tc>
          <w:tcPr>
            <w:tcW w:type="dxa" w:w="5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Scope note</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HIS-CORE</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Hospital Information System — patient registration, scheduling, clinical workflow</w:t>
            </w:r>
          </w:p>
        </w:tc>
        <w:tc>
          <w:tcPr>
            <w:tcW w:type="dxa" w:w="5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Core patient record system. In scope in full — processes Restricted-classified patient data.</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EHR-CORE</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Electronic Health Record — clinical documentation, diagnosis, prescription</w:t>
            </w:r>
          </w:p>
        </w:tc>
        <w:tc>
          <w:tcPr>
            <w:tcW w:type="dxa" w:w="5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in full. Primary system for physician access and clinical record creation.</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TELE-PLT</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Telemedicine platform — remote consultations, video, prescription</w:t>
            </w:r>
          </w:p>
        </w:tc>
        <w:tc>
          <w:tcPr>
            <w:tcW w:type="dxa" w:w="5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in full. Subject to Telemedicine Practice Guidelines (India). Physician credentials and consultation records are in scope.</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PAT-PORTAL</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Patient portal — appointment booking, record access, result viewing</w:t>
            </w:r>
          </w:p>
        </w:tc>
        <w:tc>
          <w:tcPr>
            <w:tcW w:type="dxa" w:w="5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in full. Patient-facing; handles access credentials and health record display.</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LAB-INT</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Laboratory integration — lab order routing and result retrieval</w:t>
            </w:r>
          </w:p>
        </w:tc>
        <w:tc>
          <w:tcPr>
            <w:tcW w:type="dxa" w:w="5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in full. Processes diagnostic data. Interfaces with external lab systems at the ISMS boundary (Section 7).</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PHARM-INT</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Pharmacy integration — prescription routing to partner pharmacies</w:t>
            </w:r>
          </w:p>
        </w:tc>
        <w:tc>
          <w:tcPr>
            <w:tcW w:type="dxa" w:w="5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in full. Processes prescription data. External pharmacy systems sit at the ISMS boundary.</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CLAIMS-PLT</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Insurance claims processing — clinical and billing data packaging and submission</w:t>
            </w:r>
          </w:p>
        </w:tc>
        <w:tc>
          <w:tcPr>
            <w:tcW w:type="dxa" w:w="5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in full. Processes clinical and financial data. Insurer-side systems sit at the ISMS boundary.</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API-GW</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API gateway — sole inter-product and external traffic broker</w:t>
            </w:r>
          </w:p>
        </w:tc>
        <w:tc>
          <w:tcPr>
            <w:tcW w:type="dxa" w:w="5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in full. Highest-priority shared component. All inter-product and external data flows pass through it.</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Shared platform layer</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Identity (Entra ID), monitoring (Sentinel), EDR (CrowdStrike), backup/DR, Kubernetes/Docker, PostgreSQL data tier, network segmentation (Palo Alto)</w:t>
            </w:r>
          </w:p>
        </w:tc>
        <w:tc>
          <w:tcPr>
            <w:tcW w:type="dxa" w:w="5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in full. This is the single most important scope element — a failure here has blast radius across every product and every customer region.</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Operations Centre</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Co-managed SOC with SentinelWatch MSSP — 24/7 monitoring, alert triage, first-line incident response</w:t>
            </w:r>
          </w:p>
        </w:tc>
        <w:tc>
          <w:tcPr>
            <w:tcW w:type="dxa" w:w="5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in full. SOC procedures and MSSP interface are subject to ISMS controls.</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Corporate support functions</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HR (joiner-mover-leaver, training), Finance (billing, payroll), Legal &amp; Compliance, Procurement (vendor management), Sales and Customer Success (contractual obligations, questionnaire responses)</w:t>
            </w:r>
          </w:p>
        </w:tc>
        <w:tc>
          <w:tcPr>
            <w:tcW w:type="dxa" w:w="5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These functions handle or control access to sensitive data or ISMS obligations. They are subject to the policy suite and awareness programme.</w:t>
            </w:r>
          </w:p>
        </w:tc>
      </w:tr>
    </w:tbl>
    <w:p>
      <w:pPr>
        <w:pStyle w:val="Heading1"/>
        <w:spacing w:after="140" w:before="320"/>
      </w:pPr>
      <w:r>
        <w:rPr>
          <w:rFonts w:ascii="Aptos" w:cs="Aptos" w:eastAsia="Aptos" w:hAnsi="Aptos"/>
          <w:b/>
          <w:bCs/>
          <w:i w:val="false"/>
          <w:iCs w:val="false"/>
          <w:color w:val="000000"/>
          <w:sz w:val="36"/>
          <w:szCs w:val="36"/>
        </w:rPr>
        <w:t xml:space="preserve">5. In-Scope Locations and Environments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3600"/>
        <w:gridCol w:w="36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Location / Environment</w:t>
            </w:r>
          </w:p>
        </w:tc>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Description</w:t>
            </w:r>
          </w:p>
        </w:tc>
        <w:tc>
          <w:tcPr>
            <w:tcW w:type="dxa" w:w="3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Scope note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HQ</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Corporate headquarters, GRC function, most of Engineering and DevSecOps</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Primary location for ISMS governance and engineering operations.</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Pune</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Engineering centre (~140 staff), CI/CD pipeline operations</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Hosts significant portion of the development function and pipeline infrastructure.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Hyderabad</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Success function (~48 staff)</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Handles customer data through the support and onboarding lifecycle.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Dubai</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Middle East sales and account management, UAE legal and compliance function</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UAE operation with its own regulatory obligations (PDPL). Included explicitly in the scope statement.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AWS ap-south-1 (Mumbai)</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India-region production, staging and development environments; India customer data and backups</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All India clinical data resides here. Cloud shared responsibility model boundary documented in ISMS-PLN-006.</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Azure UAE North</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UAE-region production, staging and development environments; UAE customer data and backups</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All UAE clinical data resides here. Separate from India region; UAE data does not cross to India environments.</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 dedicated enterprise VPC/VNet environments</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Isolated single-tenant infrastructure for the 14 enterprise hospital-group customers (hosted within the relevant cloud region)</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These are MediSync-managed environments; controls apply in full.</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Development and staging environments</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Non-production environments in both cloud regions</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Production isolation from lower environments is a control requirement, not an exclusion from scope.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Remote working (all locations)</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Staff working remotely via Palo Alto GlobalProtect VPN and managed endpoints</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scope. Remote access to production systems is subject to the same controls as on-site access.</w:t>
            </w:r>
          </w:p>
        </w:tc>
      </w:tr>
    </w:tbl>
    <w:p>
      <w:pPr>
        <w:pStyle w:val="Heading1"/>
        <w:spacing w:after="140" w:before="320"/>
      </w:pPr>
      <w:r>
        <w:rPr>
          <w:rFonts w:ascii="Aptos" w:cs="Aptos" w:eastAsia="Aptos" w:hAnsi="Aptos"/>
          <w:b/>
          <w:bCs/>
          <w:i w:val="false"/>
          <w:iCs w:val="false"/>
          <w:color w:val="000000"/>
          <w:sz w:val="36"/>
          <w:szCs w:val="36"/>
        </w:rPr>
        <w:t xml:space="preserve">6. Exclusions and Justifications</w:t>
      </w:r>
    </w:p>
    <w:p>
      <w:pPr>
        <w:spacing w:after="140" w:before="0"/>
        <w:jc w:val="left"/>
      </w:pPr>
      <w:r>
        <w:rPr>
          <w:rFonts w:ascii="Aptos" w:cs="Aptos" w:eastAsia="Aptos" w:hAnsi="Aptos"/>
          <w:b w:val="false"/>
          <w:bCs w:val="false"/>
          <w:i w:val="false"/>
          <w:iCs w:val="false"/>
          <w:color w:val="000000"/>
          <w:sz w:val="24"/>
          <w:szCs w:val="24"/>
        </w:rPr>
        <w:t xml:space="preserve">The following are explicitly excluded from the ISMS scope. Each exclusion is justified. An exclusion is only valid where the excluded element has no interface with in-scope systems and processes, and where the exclusion does not result in an unaddressed regulatory or contractual obligation. The certification body will review these justifications at Stage 1.</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800"/>
        <w:gridCol w:w="36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Excluded element</w:t>
            </w:r>
          </w:p>
        </w:tc>
        <w:tc>
          <w:tcPr>
            <w:tcW w:type="dxa" w:w="3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Justification</w:t>
            </w:r>
          </w:p>
        </w:tc>
        <w:tc>
          <w:tcPr>
            <w:tcW w:type="dxa" w:w="3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Interface condition</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AWS and Azure physical data centre infrastructure (buildings, power, cooling, hardware)</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operates under the cloud provider shared responsibility model. AWS and Azure are each independently ISO/IEC 27001 certified. Physical and hypervisor-layer controls are the provider's responsibility, not MediSync's.</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interface — MediSync has no access to or control over physical infrastructure. Cloud provider compliance reports are referenced in ISMS-OPS-003.</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Customer-owned on-premises systems (e.g., hospital PACS, legacy lab systems connected via LAB-INT)</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These systems are owned and operated by the customer. MediSync's control ends at the API-GW interface. The customer is responsible for their own system security.</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Interface is at API-GW boundary only. The interface itself (API-GW) is in scope; the customer-side system is not.</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pharmacy systems (connected via PHARM-INT)</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Partner pharmacies are independent entities. MediSync's control ends at the integration interface. Pharmacy systems are not MediSync-managed.</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Interface is at API-GW boundary. The integration channel is in scope; the pharmacy-side system is not.</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Insurer systems (connected via CLAIMS-PLT)</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Insurers are independent counterparties. MediSync controls only the data packaging and transmission; the insurer's receipt and processing systems are not MediSync-managed.</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Interface is at API-GW boundary. The data packaging and transmission process is in scope; insurer-side systems are not.</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Personal devices not enrolled in MediSync MDM</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operates a managed-endpoint policy. Personal devices are not permitted for production system access; Palo Alto GlobalProtect VPN enforces endpoint compliance checks at connection.</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Enforced exclusion — personal devices cannot reach in-scope systems via the production access path.</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investor relations and public-facing website (marketing site)</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marketing website does not process patient data, clinical data or employee personal data. It has no interface with any in-scope system or data store.</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interface with in-scope systems. No patient or clinical data is processed.</w:t>
            </w:r>
          </w:p>
        </w:tc>
      </w:tr>
    </w:tbl>
    <w:p>
      <w:pPr>
        <w:pStyle w:val="Heading1"/>
        <w:spacing w:after="140" w:before="320"/>
      </w:pPr>
      <w:r>
        <w:rPr>
          <w:rFonts w:ascii="Aptos" w:cs="Aptos" w:eastAsia="Aptos" w:hAnsi="Aptos"/>
          <w:b/>
          <w:bCs/>
          <w:i w:val="false"/>
          <w:iCs w:val="false"/>
          <w:color w:val="000000"/>
          <w:sz w:val="36"/>
          <w:szCs w:val="36"/>
        </w:rPr>
        <w:t xml:space="preserve">7. Interfaces at the Scope Boundary</w:t>
      </w:r>
    </w:p>
    <w:p>
      <w:pPr>
        <w:spacing w:after="140" w:before="0"/>
        <w:jc w:val="left"/>
      </w:pPr>
      <w:r>
        <w:rPr>
          <w:rFonts w:ascii="Aptos" w:cs="Aptos" w:eastAsia="Aptos" w:hAnsi="Aptos"/>
          <w:b w:val="false"/>
          <w:bCs w:val="false"/>
          <w:i w:val="false"/>
          <w:iCs w:val="false"/>
          <w:color w:val="000000"/>
          <w:sz w:val="24"/>
          <w:szCs w:val="24"/>
        </w:rPr>
        <w:t xml:space="preserve">These are the points where in-scope MediSync systems connect to out-of-scope systems. Each interface is a potential risk introduction point and must be addressed in the risk register (ISMS-PLN-004) and operational procedures (ISMS-OPS-001).</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2200"/>
        <w:gridCol w:w="2800"/>
        <w:gridCol w:w="3280"/>
      </w:tblGrid>
      <w:tr>
        <w:trPr>
          <w:cantSplit/>
          <w:tblHeader/>
        </w:trPr>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Interface ref</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In-scope side</w:t>
            </w:r>
          </w:p>
        </w:tc>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Out-of-scope side</w:t>
            </w:r>
          </w:p>
        </w:tc>
        <w:tc>
          <w:tcPr>
            <w:tcW w:type="dxa" w:w="3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Control requirement</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INT-01</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API-GW (MediSync)</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hospital PACS / legacy lab systems</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Mutual TLS authentication; API key management; rate limiting; anomaly detection. Documented in ISMS-OPS-001.</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INT-02</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LAB-INT / API-GW</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diagnostic lab systems</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Encrypted transit; authenticated API calls; result integrity validation before writing to patient record.</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INT-03</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PHARM-INT / API-GW</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Partner pharmacy systems</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Encrypted transit; prescription data transmitted as minimum necessary; no patient record data beyond prescription.</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INT-04</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CLAIMS-PLT / API-GW</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Insurer systems</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minimisation — only claim-required fields transmitted; no full patient record. Encrypted transit.</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INT-05</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MedLink Gulf Integrators (UAE, in scope as Tier 1 vendor)</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customer systems</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MedLink operates under a data processing agreement and Tier 1 vendor assessment. Their access is bounded by the integration scope agreed in their contract.</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INT-06</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Microsoft Entra ID (in scope — shared identity layer)</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Entra ID / federated directories (where hospital IT supports federation)</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Federation configured to MediSync standards. Customer-side directory is not in scope; the federation trust relationship and MediSync-side configuration are.</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INT-07</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MSSP (in scope — SOC co-management)</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internal systems</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MSSP operates under a security schedule (ISMS-OPS-003). SIEM data access is bounded to agreed monitoring scope. SentinelWatch's own internal systems are not in scope.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INT-08</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ABDM ecosystem (India, where applicable)</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Ayushman Bharat Digital Mission infrastructure</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ABDM connectivity scope defined per ISMS-INI-010 (IND-06). Consent-management controls documented in ISMS-OPS-001 for ABDM-connected data flows only.</w:t>
            </w:r>
          </w:p>
        </w:tc>
      </w:tr>
    </w:tbl>
    <w:p>
      <w:pPr>
        <w:pStyle w:val="Heading1"/>
        <w:spacing w:after="140" w:before="320"/>
      </w:pPr>
      <w:r>
        <w:rPr>
          <w:rFonts w:ascii="Aptos" w:cs="Aptos" w:eastAsia="Aptos" w:hAnsi="Aptos"/>
          <w:b/>
          <w:bCs/>
          <w:i w:val="false"/>
          <w:iCs w:val="false"/>
          <w:color w:val="000000"/>
          <w:sz w:val="36"/>
          <w:szCs w:val="36"/>
        </w:rPr>
        <w:t xml:space="preserve">8. Information Asset Categories Within Scope</w:t>
      </w:r>
    </w:p>
    <w:p>
      <w:pPr>
        <w:spacing w:after="140" w:before="0"/>
        <w:jc w:val="left"/>
      </w:pPr>
      <w:r>
        <w:rPr>
          <w:rFonts w:ascii="Aptos" w:cs="Aptos" w:eastAsia="Aptos" w:hAnsi="Aptos"/>
          <w:b w:val="false"/>
          <w:bCs w:val="false"/>
          <w:i w:val="false"/>
          <w:iCs w:val="false"/>
          <w:color w:val="000000"/>
          <w:sz w:val="24"/>
          <w:szCs w:val="24"/>
        </w:rPr>
        <w:t xml:space="preserve">These are the categories of information asset within the ISMS boundary. The full asset inventory is in ISMS-PLN-003. The classification tiers below are used throughout the ISMS to determine control stringency.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3400"/>
        <w:gridCol w:w="4480"/>
      </w:tblGrid>
      <w:tr>
        <w:trPr>
          <w:cantSplit/>
          <w:tblHeader/>
        </w:trPr>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Asset category</w:t>
            </w:r>
          </w:p>
        </w:tc>
        <w:tc>
          <w:tcPr>
            <w:tcW w:type="dxa" w:w="3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Classification</w:t>
            </w:r>
          </w:p>
        </w:tc>
        <w:tc>
          <w:tcPr>
            <w:tcW w:type="dxa" w:w="4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Examples</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Patient health records (clinical)</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Restricted</w:t>
            </w:r>
          </w:p>
        </w:tc>
        <w:tc>
          <w:tcPr>
            <w:tcW w:type="dxa" w:w="4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Diagnoses, prescriptions, lab results, consultation notes, imaging references in EHR-CORE, TELE-PLT, LAB-INT</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Patient identity and contact data</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Restricted</w:t>
            </w:r>
          </w:p>
        </w:tc>
        <w:tc>
          <w:tcPr>
            <w:tcW w:type="dxa" w:w="4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 date of birth, contact details, appointment history in HIS-CORE, PAT-PORTAL</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Physician and staff access credentials</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Restricted</w:t>
            </w:r>
          </w:p>
        </w:tc>
        <w:tc>
          <w:tcPr>
            <w:tcW w:type="dxa" w:w="4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Entra ID credentials, MFA tokens, API keys for external integrations</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Insurance claim data</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Restricted</w:t>
            </w:r>
          </w:p>
        </w:tc>
        <w:tc>
          <w:tcPr>
            <w:tcW w:type="dxa" w:w="4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Clinical and billing data packaged by CLAIMS-PLT — not the full record but derived from it</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Integration data in transit</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Restricted</w:t>
            </w:r>
          </w:p>
        </w:tc>
        <w:tc>
          <w:tcPr>
            <w:tcW w:type="dxa" w:w="4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Lab orders, prescription routing data, ABDM data flows through API-GW</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and system logs</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w:t>
            </w:r>
          </w:p>
        </w:tc>
        <w:tc>
          <w:tcPr>
            <w:tcW w:type="dxa" w:w="4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SIEM events, application logs, access logs in Microsoft Sentinel and Kubernetes</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Source code and CI/CD pipeline configuration</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w:t>
            </w:r>
          </w:p>
        </w:tc>
        <w:tc>
          <w:tcPr>
            <w:tcW w:type="dxa" w:w="4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GitHub Enterprise repositories, pipeline scripts, infrastructure-as-code</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Business and commercial data</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w:t>
            </w:r>
          </w:p>
        </w:tc>
        <w:tc>
          <w:tcPr>
            <w:tcW w:type="dxa" w:w="4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contracts, pricing, financial records, sales pipeline</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Employee personal data</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w:t>
            </w:r>
          </w:p>
        </w:tc>
        <w:tc>
          <w:tcPr>
            <w:tcW w:type="dxa" w:w="4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HR records, payroll data, recruitment files</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Public-facing marketing content</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Public</w:t>
            </w:r>
          </w:p>
        </w:tc>
        <w:tc>
          <w:tcPr>
            <w:tcW w:type="dxa" w:w="4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Website content, product datasheets, press releases — explicitly excluded from ISMS controls</w:t>
            </w:r>
          </w:p>
        </w:tc>
      </w:tr>
    </w:tbl>
    <w:p>
      <w:pPr>
        <w:pStyle w:val="Heading1"/>
        <w:spacing w:after="140" w:before="320"/>
      </w:pPr>
      <w:r>
        <w:rPr>
          <w:rFonts w:ascii="Aptos" w:cs="Aptos" w:eastAsia="Aptos" w:hAnsi="Aptos"/>
          <w:b/>
          <w:bCs/>
          <w:i w:val="false"/>
          <w:iCs w:val="false"/>
          <w:color w:val="000000"/>
          <w:sz w:val="36"/>
          <w:szCs w:val="36"/>
        </w:rPr>
        <w:t xml:space="preserve">9. Regulatory Obligations Within Scope</w:t>
      </w:r>
    </w:p>
    <w:p>
      <w:pPr>
        <w:spacing w:after="140" w:before="0"/>
        <w:jc w:val="left"/>
      </w:pPr>
      <w:r>
        <w:rPr>
          <w:rFonts w:ascii="Aptos" w:cs="Aptos" w:eastAsia="Aptos" w:hAnsi="Aptos"/>
          <w:b w:val="false"/>
          <w:bCs w:val="false"/>
          <w:i w:val="false"/>
          <w:iCs w:val="false"/>
          <w:color w:val="000000"/>
          <w:sz w:val="24"/>
          <w:szCs w:val="24"/>
        </w:rPr>
        <w:t xml:space="preserve">The ISMS must address all of the following regulatory obligations, as documented in detail in ISMS-INI-010. This section confirms they are within scope — it does not duplicate the obligation detail.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4400"/>
        <w:gridCol w:w="3680"/>
      </w:tblGrid>
      <w:tr>
        <w:trPr>
          <w:cantSplit/>
          <w:tblHeader/>
        </w:trPr>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Obligation</w:t>
            </w:r>
          </w:p>
        </w:tc>
        <w:tc>
          <w:tcPr>
            <w:tcW w:type="dxa" w:w="4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Jurisdiction / applicability</w:t>
            </w:r>
          </w:p>
        </w:tc>
        <w:tc>
          <w:tcPr>
            <w:tcW w:type="dxa" w:w="3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Confirmed in scope</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2023 — Data Processor obligations, breach notification, retention</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India — all India customer data</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Act, 2000 Section 43A — Reasonable security practices</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India — all MediSync India operations</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Rules, 2022 — Six-hour incident reporting, 180-day log retention</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India — all MediSync India operations</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ABDM / Health Data Management Policy</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India — EHR-CORE and TELE-PLT where ABDM-connected</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MoHFW EHR Standards and Telemedicine Practice Guidelines</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India — EHR-CORE and TELE-PLT</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PDPL — Lawful basis, data subject rights, cross-border transfer, DPO</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 all UAE customer data and operations</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healthcare sector obligations (emirate / free-zone specific)</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 per UAE customer contract</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 Clauses 4–10 and applicable Annex A</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Entire scope</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Contractual security schedules, right-to-audit, breach notification SLAs</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enterprise contracts (India and UAE)</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w:t>
            </w:r>
          </w:p>
        </w:tc>
      </w:tr>
    </w:tbl>
    <w:p>
      <w:pPr>
        <w:pStyle w:val="Heading1"/>
        <w:spacing w:after="140" w:before="320"/>
      </w:pPr>
      <w:r>
        <w:rPr>
          <w:rFonts w:ascii="Aptos" w:cs="Aptos" w:eastAsia="Aptos" w:hAnsi="Aptos"/>
          <w:b/>
          <w:bCs/>
          <w:i w:val="false"/>
          <w:iCs w:val="false"/>
          <w:color w:val="000000"/>
          <w:sz w:val="36"/>
          <w:szCs w:val="36"/>
        </w:rPr>
        <w:t xml:space="preserve">10. Scope Change Control</w:t>
      </w:r>
    </w:p>
    <w:p>
      <w:pPr>
        <w:spacing w:after="140" w:before="0"/>
        <w:jc w:val="left"/>
      </w:pPr>
      <w:r>
        <w:rPr>
          <w:rFonts w:ascii="Aptos" w:cs="Aptos" w:eastAsia="Aptos" w:hAnsi="Aptos"/>
          <w:b w:val="false"/>
          <w:bCs w:val="false"/>
          <w:i w:val="false"/>
          <w:iCs w:val="false"/>
          <w:color w:val="000000"/>
          <w:sz w:val="24"/>
          <w:szCs w:val="24"/>
        </w:rPr>
        <w:t xml:space="preserve">The scope is a baseline document. Changes require a formal reissue. The table below defines what constitutes a material scope change and who must approve it.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2800"/>
        <w:gridCol w:w="36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Change type</w:t>
            </w:r>
          </w:p>
        </w:tc>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Approval required</w:t>
            </w:r>
          </w:p>
        </w:tc>
        <w:tc>
          <w:tcPr>
            <w:tcW w:type="dxa" w:w="3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Effect on dependent documents</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New product launched or existing product materially extended</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Asset register, risk register and SoA must be reviewed and updated before the new product goes to production.</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New cloud region or hosting environment added</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Network and infrastructure controls in ISMS-OPS-001 must be updated; SoA reviewed.</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New country of operation added</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 and CEO</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&amp; Regulatory Register (ISMS-INI-010) must be updated first; scope reissued after regulatory mapping is complete.</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Material change to a Tier 1 vendor arrangement</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ISMS-OPS-003 vendor assessment and SoA reviewed; interface table in Section 7 updated.</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to ABDM connectivity scope</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and Head of Legal (UAE)</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 IND-06 and ISMS-OPS-001 ABDM procedure updated in step.</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clarification (wording, not boundary)</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effect on dependent documents; noted in version history only.</w:t>
            </w:r>
          </w:p>
        </w:tc>
      </w:tr>
    </w:tbl>
    <w:p>
      <w:pPr>
        <w:pStyle w:val="Heading1"/>
        <w:spacing w:after="140" w:before="320"/>
      </w:pPr>
      <w:r>
        <w:rPr>
          <w:rFonts w:ascii="Aptos" w:cs="Aptos" w:eastAsia="Aptos" w:hAnsi="Aptos"/>
          <w:b/>
          <w:bCs/>
          <w:i w:val="false"/>
          <w:iCs w:val="false"/>
          <w:color w:val="000000"/>
          <w:sz w:val="36"/>
          <w:szCs w:val="36"/>
        </w:rPr>
        <w:t xml:space="preserve">11. Approval</w:t>
      </w:r>
    </w:p>
    <w:p>
      <w:pPr>
        <w:spacing w:after="140" w:before="0"/>
        <w:jc w:val="left"/>
      </w:pPr>
      <w:r>
        <w:rPr>
          <w:rFonts w:ascii="Aptos" w:cs="Aptos" w:eastAsia="Aptos" w:hAnsi="Aptos"/>
          <w:b w:val="false"/>
          <w:bCs w:val="false"/>
          <w:i w:val="false"/>
          <w:iCs w:val="false"/>
          <w:color w:val="000000"/>
          <w:sz w:val="24"/>
          <w:szCs w:val="24"/>
        </w:rPr>
        <w:t xml:space="preserve">By approving this document, the Steering Committee ratifies the scope statement in Section 2 as the boundary within which the ISMS is implemented, audited and certified. Any material deviation from this scope that is not covered by a reissued version of this document will be treated as a nonconformity.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Prepared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 Mar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boundaries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 Mar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&amp; Compliance (UAE)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jurisdictional scope and regulatory boundary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 Mar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Ridhima Kapoor</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Technology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Infrastructure and product scope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Mar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Mar 2026</w:t>
            </w:r>
          </w:p>
        </w:tc>
      </w:tr>
    </w:tbl>
    <w:p>
      <w:pPr>
        <w:keepNext/>
        <w:spacing w:after="80" w:before="32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200"/>
      </w:pPr>
      <w:r>
        <w:rPr>
          <w:rFonts w:ascii="Aptos" w:cs="Aptos" w:eastAsia="Aptos" w:hAnsi="Aptos"/>
          <w:b w:val="false"/>
          <w:bCs w:val="false"/>
          <w:i/>
          <w:iCs/>
          <w:color w:val="000000"/>
          <w:sz w:val="24"/>
          <w:szCs w:val="24"/>
        </w:rPr>
        <w:t xml:space="preserve">Ananya Rao, Chief Executive Officer and Chair, ISMS Steering Committee,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ISMS-INI-011  |  ISMS Scope Document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2026-08-24T02:37:27.549Z</dcterms:created>
  <dcterms:modified xsi:type="dcterms:W3CDTF">2026-08-24T02:37:27.559Z</dcterms:modified>
</cp:coreProperties>
</file>

<file path=docProps/custom.xml><?xml version="1.0" encoding="utf-8"?>
<Properties xmlns="http://schemas.openxmlformats.org/officeDocument/2006/custom-properties" xmlns:vt="http://schemas.openxmlformats.org/officeDocument/2006/docPropsVTypes"/>
</file>