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40"/>
        <w:jc w:val="center"/>
      </w:pPr>
      <w:r>
        <w:rPr>
          <w:rFonts w:ascii="Aptos" w:cs="Aptos" w:eastAsia="Aptos" w:hAnsi="Aptos"/>
          <w:b w:val="false"/>
          <w:bCs w:val="false"/>
          <w:i/>
          <w:iCs/>
          <w:color w:val="000000"/>
          <w:sz w:val="24"/>
          <w:szCs w:val="24"/>
        </w:rPr>
        <w:t xml:space="preserve">Bengaluru  |  Pune  |  Hyderabad  |  Dubai</w:t>
      </w:r>
    </w:p>
    <w:p>
      <w:pPr>
        <w:spacing w:after="80" w:before="200"/>
        <w:jc w:val="center"/>
      </w:pPr>
      <w:r>
        <w:rPr>
          <w:rFonts w:ascii="Aptos" w:cs="Aptos" w:eastAsia="Aptos" w:hAnsi="Aptos"/>
          <w:b/>
          <w:bCs/>
          <w:i w:val="false"/>
          <w:iCs w:val="false"/>
          <w:color w:val="000000"/>
          <w:sz w:val="36"/>
          <w:szCs w:val="36"/>
        </w:rPr>
        <w:t xml:space="preserve">GAP ASSESSMENT REPORT</w:t>
      </w:r>
    </w:p>
    <w:p>
      <w:pPr>
        <w:spacing w:after="32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Assessment Report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Supports Clause 6.1 — Actions to Address Risks and Opportunities; baseline for all Phase 3 planning</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 Initiation (Clause 4), Item 12 of 16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Assessment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 Head of GRC &amp; Compliance / ISMS Manager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Approving Authority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Conducted</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 March – 20 March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March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Review</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After Phase 3 risk treatment plan approval; re-assessed at each internal audit cycle</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Companion Document</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ISMS-INI-013 Gap Analysis Matrix (Excel) — clause-by-clause detail underlying this report</w:t>
            </w:r>
          </w:p>
        </w:tc>
      </w:tr>
    </w:tbl>
    <w:p>
      <w:pPr>
        <w:spacing w:after="120" w:before="160"/>
      </w:pPr>
      <w:r>
        <w:rPr>
          <w:rFonts w:ascii="Aptos" w:cs="Aptos" w:eastAsia="Aptos" w:hAnsi="Aptos"/>
          <w:b w:val="false"/>
          <w:bCs w:val="false"/>
          <w:i/>
          <w:iCs/>
          <w:color w:val="000000"/>
          <w:sz w:val="24"/>
          <w:szCs w:val="24"/>
        </w:rPr>
        <w:t xml:space="preserve">This document is the property of MediSync Technologies Pvt. Ltd. and must not be copied or disclosed outside the company without written approval from the Head of GRC &amp; Compliance.</w:t>
      </w:r>
    </w:p>
    <w:p>
      <w:pPr>
        <w:pStyle w:val="Heading1"/>
        <w:spacing w:after="140" w:before="320"/>
      </w:pPr>
      <w:r>
        <w:rPr>
          <w:rFonts w:ascii="Aptos" w:cs="Aptos" w:eastAsia="Aptos" w:hAnsi="Aptos"/>
          <w:b/>
          <w:bCs/>
          <w:i w:val="false"/>
          <w:iCs w:val="false"/>
          <w:color w:val="000000"/>
          <w:sz w:val="36"/>
          <w:szCs w:val="36"/>
        </w:rPr>
        <w:t xml:space="preserve">Document Control</w:t>
      </w:r>
    </w:p>
    <w:p>
      <w:pPr>
        <w:pStyle w:val="Heading2"/>
        <w:spacing w:after="140" w:before="220"/>
      </w:pPr>
      <w:r>
        <w:rPr>
          <w:rFonts w:ascii="Aptos" w:cs="Aptos" w:eastAsia="Aptos" w:hAnsi="Aptos"/>
          <w:b/>
          <w:bCs/>
          <w:i w:val="false"/>
          <w:iCs w:val="false"/>
          <w:color w:val="000000"/>
          <w:sz w:val="32"/>
          <w:szCs w:val="32"/>
        </w:rPr>
        <w:t xml:space="preserve">1. Document Information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Reference Number</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Series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 — ISMS Initiation (Clause 4)</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Type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Report (Phase 1 gate evidence)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Owning Function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&amp; GRC</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Retention Period</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Life of the ISMS plus seven (7) years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Storage Location</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MediSync GRC Repository &gt; Project HealthSec &gt; Phase 1 — Initiation</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Distribution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 CISO, Department Security Champions</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Governing Baseline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 Context Analysis Report v1.0; ISMS-INI-011 ISMS Scope Document v1.0</w:t>
            </w:r>
          </w:p>
        </w:tc>
      </w:tr>
    </w:tbl>
    <w:p>
      <w:pPr>
        <w:pStyle w:val="Heading2"/>
        <w:spacing w:after="140" w:before="220"/>
      </w:pPr>
      <w:r>
        <w:rPr>
          <w:rFonts w:ascii="Aptos" w:cs="Aptos" w:eastAsia="Aptos" w:hAnsi="Aptos"/>
          <w:b/>
          <w:bCs/>
          <w:i w:val="false"/>
          <w:iCs w:val="false"/>
          <w:color w:val="000000"/>
          <w:sz w:val="32"/>
          <w:szCs w:val="32"/>
        </w:rPr>
        <w:t xml:space="preserve">2.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80"/>
        <w:gridCol w:w="150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evidence gathered from interviews and document review.</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Gaps validated with CISO and department owners; priority ratings applied.</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Final review closed. Approved by Steering Committee as Phase 1 gate evidence.</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40" w:before="220"/>
      </w:pPr>
      <w:r>
        <w:rPr>
          <w:rFonts w:ascii="Aptos" w:cs="Aptos" w:eastAsia="Aptos" w:hAnsi="Aptos"/>
          <w:b/>
          <w:bCs/>
          <w:i w:val="false"/>
          <w:iCs w:val="false"/>
          <w:color w:val="000000"/>
          <w:sz w:val="32"/>
          <w:szCs w:val="32"/>
        </w:rPr>
        <w:t xml:space="preserve">3.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2800"/>
        <w:gridCol w:w="53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3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ISMS-INI-006</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Context Analysis Report</w:t>
            </w:r>
          </w:p>
        </w:tc>
        <w:tc>
          <w:tcPr>
            <w:tcW w:type="dxa" w:w="5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issues and maturity baseline that this report formally validates.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ISMS-INI-011</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Scope Document</w:t>
            </w:r>
          </w:p>
        </w:tc>
        <w:tc>
          <w:tcPr>
            <w:tcW w:type="dxa" w:w="5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the boundary; all findings below apply only to in-scope systems and functions.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ISMS-INI-013</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Analysis Matrix (Excel)</w:t>
            </w:r>
          </w:p>
        </w:tc>
        <w:tc>
          <w:tcPr>
            <w:tcW w:type="dxa" w:w="5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Clause-by-clause companion. This report is the narrative; INI-013 is the traceable evidence record.</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Assessment Methodology</w:t>
            </w:r>
          </w:p>
        </w:tc>
        <w:tc>
          <w:tcPr>
            <w:tcW w:type="dxa" w:w="5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Gaps rated Critical and High in Section 6 feed directly into Phase 3 risk register as inputs.</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3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deliverable. The RISK-PRE entries in Section 7 are carried forward here.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ISMS-IMP-002</w:t>
            </w:r>
          </w:p>
        </w:tc>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Corrective Action Requests</w:t>
            </w:r>
          </w:p>
        </w:tc>
        <w:tc>
          <w:tcPr>
            <w:tcW w:type="dxa" w:w="53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CAR series opened against each Critical and High gap in Section 6.</w:t>
            </w:r>
          </w:p>
        </w:tc>
      </w:tr>
    </w:tbl>
    <w:p>
      <w:pPr>
        <w:pStyle w:val="Heading1"/>
        <w:spacing w:after="140" w:before="200"/>
        <w:jc w:val="center"/>
      </w:pPr>
      <w:r>
        <w:rPr>
          <w:rFonts w:ascii="Aptos" w:cs="Aptos" w:eastAsia="Aptos" w:hAnsi="Aptos"/>
          <w:b/>
          <w:bCs/>
          <w:i w:val="false"/>
          <w:iCs w:val="false"/>
          <w:color w:val="000000"/>
          <w:sz w:val="36"/>
          <w:szCs w:val="36"/>
        </w:rPr>
        <w:t xml:space="preserve">Table of Contents</w:t>
      </w:r>
    </w:p>
    <w:p>
      <w:pPr>
        <w:spacing w:after="16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This report documents the findings of the Phase 1 gap assessment conducted against ISO/IEC 27001:2022. It establishes the baseline from which MediSync will implement its ISMS — identifying where controls are already in place and effective, where they exist but need formalisation or extension, and where they are absent.</w:t>
      </w:r>
    </w:p>
    <w:p>
      <w:pPr>
        <w:spacing w:after="140" w:before="0"/>
        <w:jc w:val="left"/>
      </w:pPr>
      <w:r>
        <w:rPr>
          <w:rFonts w:ascii="Aptos" w:cs="Aptos" w:eastAsia="Aptos" w:hAnsi="Aptos"/>
          <w:b w:val="false"/>
          <w:bCs w:val="false"/>
          <w:i w:val="false"/>
          <w:iCs w:val="false"/>
          <w:color w:val="000000"/>
          <w:sz w:val="24"/>
          <w:szCs w:val="24"/>
        </w:rPr>
        <w:t xml:space="preserve">The gap assessment is the bridge between the context analysis (ISMS-INI-006) and the Phase 3 risk assessment. Gaps rated Critical or High become direct inputs to the risk register (ISMS-PLN-004) and have corrective action requests raised against them. The clause-by-clause detail behind this narrative is in ISMS-INI-013.</w:t>
      </w:r>
    </w:p>
    <w:p>
      <w:pPr>
        <w:pStyle w:val="Heading1"/>
        <w:spacing w:after="140" w:before="320"/>
      </w:pPr>
      <w:r>
        <w:rPr>
          <w:rFonts w:ascii="Aptos" w:cs="Aptos" w:eastAsia="Aptos" w:hAnsi="Aptos"/>
          <w:b/>
          <w:bCs/>
          <w:i w:val="false"/>
          <w:iCs w:val="false"/>
          <w:color w:val="000000"/>
          <w:sz w:val="36"/>
          <w:szCs w:val="36"/>
        </w:rPr>
        <w:t xml:space="preserve">2. Assessment Approach</w:t>
      </w:r>
    </w:p>
    <w:p>
      <w:pPr>
        <w:pStyle w:val="Heading2"/>
        <w:spacing w:after="140" w:before="220"/>
      </w:pPr>
      <w:r>
        <w:rPr>
          <w:rFonts w:ascii="Aptos" w:cs="Aptos" w:eastAsia="Aptos" w:hAnsi="Aptos"/>
          <w:b/>
          <w:bCs/>
          <w:i w:val="false"/>
          <w:iCs w:val="false"/>
          <w:color w:val="000000"/>
          <w:sz w:val="32"/>
          <w:szCs w:val="32"/>
        </w:rPr>
        <w:t xml:space="preserve">2.1 Method</w:t>
      </w:r>
    </w:p>
    <w:p>
      <w:pPr>
        <w:spacing w:after="140" w:before="0"/>
        <w:jc w:val="left"/>
      </w:pPr>
      <w:r>
        <w:rPr>
          <w:rFonts w:ascii="Aptos" w:cs="Aptos" w:eastAsia="Aptos" w:hAnsi="Aptos"/>
          <w:b w:val="false"/>
          <w:bCs w:val="false"/>
          <w:i w:val="false"/>
          <w:iCs w:val="false"/>
          <w:color w:val="000000"/>
          <w:sz w:val="24"/>
          <w:szCs w:val="24"/>
        </w:rPr>
        <w:t xml:space="preserve">The assessment used three evidence sources: structured interviews with department owners and Security Champions across all four locations; document review of existing policies, procedures and configuration records; and technical observation of selected system configurations.</w:t>
      </w:r>
    </w:p>
    <w:p>
      <w:pPr>
        <w:spacing w:after="140" w:before="0"/>
        <w:jc w:val="left"/>
      </w:pPr>
      <w:r>
        <w:rPr>
          <w:rFonts w:ascii="Aptos" w:cs="Aptos" w:eastAsia="Aptos" w:hAnsi="Aptos"/>
          <w:b w:val="false"/>
          <w:bCs w:val="false"/>
          <w:i w:val="false"/>
          <w:iCs w:val="false"/>
          <w:color w:val="000000"/>
          <w:sz w:val="24"/>
          <w:szCs w:val="24"/>
        </w:rPr>
        <w:t xml:space="preserve">Each ISO/IEC 27001:2022 clause and applicable Annex A control was rated against a four-point compliance scale. Ratings are based on evidence, not assertion — an undocumented control scores the same as an absent one.</w:t>
      </w:r>
    </w:p>
    <w:p>
      <w:pPr>
        <w:pStyle w:val="Heading2"/>
        <w:spacing w:after="140" w:before="220"/>
      </w:pPr>
      <w:r>
        <w:rPr>
          <w:rFonts w:ascii="Aptos" w:cs="Aptos" w:eastAsia="Aptos" w:hAnsi="Aptos"/>
          <w:b/>
          <w:bCs/>
          <w:i w:val="false"/>
          <w:iCs w:val="false"/>
          <w:color w:val="000000"/>
          <w:sz w:val="32"/>
          <w:szCs w:val="32"/>
        </w:rPr>
        <w:t xml:space="preserve">2.2 Compliance scale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Rating</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Definition</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Compliant</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exists, is documented, is operating consistently and evidence is available. No action required before certification.</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Partial</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exists in substance but has gaps: not documented, not consistently applied, not extended across the full scope, or evidence is insufficient for an auditor.</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is absent or so underdeveloped that it cannot be credited. Must be implemented before certification.</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Control is not applicable to MediSync's scope and the exclusion is justified in ISMS-INI-011 or ISMS-PLN-006.</w:t>
            </w:r>
          </w:p>
        </w:tc>
      </w:tr>
    </w:tbl>
    <w:p>
      <w:pPr>
        <w:pStyle w:val="Heading2"/>
        <w:spacing w:after="140" w:before="220"/>
      </w:pPr>
      <w:r>
        <w:rPr>
          <w:rFonts w:ascii="Aptos" w:cs="Aptos" w:eastAsia="Aptos" w:hAnsi="Aptos"/>
          <w:b/>
          <w:bCs/>
          <w:i w:val="false"/>
          <w:iCs w:val="false"/>
          <w:color w:val="000000"/>
          <w:sz w:val="32"/>
          <w:szCs w:val="32"/>
        </w:rPr>
        <w:t xml:space="preserve">2.3 Assessment team</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Assessor</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lead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External Information Security Consulting Team (Engagement Lead and Lead ISMS Consultant)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validation</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CISO; Sana Al Farsi, Head of Cloud Infrastructure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Process and document review</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 ISMS Manager</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UAE and legal obligations review</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 Head of Legal &amp; Compliance (UAE)</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and DevSecOps review</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 VP Engineering; DevSecOps Lead</w:t>
            </w:r>
          </w:p>
        </w:tc>
      </w:tr>
    </w:tbl>
    <w:p>
      <w:pPr>
        <w:pStyle w:val="Heading1"/>
        <w:spacing w:after="140" w:before="320"/>
      </w:pPr>
      <w:r>
        <w:rPr>
          <w:rFonts w:ascii="Aptos" w:cs="Aptos" w:eastAsia="Aptos" w:hAnsi="Aptos"/>
          <w:b/>
          <w:bCs/>
          <w:i w:val="false"/>
          <w:iCs w:val="false"/>
          <w:color w:val="000000"/>
          <w:sz w:val="36"/>
          <w:szCs w:val="36"/>
        </w:rPr>
        <w:t xml:space="preserve">3. Scope of Assessment</w:t>
      </w:r>
    </w:p>
    <w:p>
      <w:pPr>
        <w:spacing w:after="140" w:before="0"/>
        <w:jc w:val="left"/>
      </w:pPr>
      <w:r>
        <w:rPr>
          <w:rFonts w:ascii="Aptos" w:cs="Aptos" w:eastAsia="Aptos" w:hAnsi="Aptos"/>
          <w:b w:val="false"/>
          <w:bCs w:val="false"/>
          <w:i w:val="false"/>
          <w:iCs w:val="false"/>
          <w:color w:val="000000"/>
          <w:sz w:val="24"/>
          <w:szCs w:val="24"/>
        </w:rPr>
        <w:t xml:space="preserve">The assessment covers the ISMS scope as defined in ISMS-INI-011: all eight products and the shared platform layer, both cloud regions (AWS ap-south-1 and Azure UAE North), all four office locations, the Security Operations Centre, and all corporate support functions. All 93 ISO/IEC 27001:2022 Annex A controls were assessed; 7 were rated N/A and are excluded with justification in ISMS-INI-013.</w:t>
      </w:r>
    </w:p>
    <w:p>
      <w:pPr>
        <w:pStyle w:val="Heading1"/>
        <w:spacing w:after="140" w:before="320"/>
      </w:pPr>
      <w:r>
        <w:rPr>
          <w:rFonts w:ascii="Aptos" w:cs="Aptos" w:eastAsia="Aptos" w:hAnsi="Aptos"/>
          <w:b/>
          <w:bCs/>
          <w:i w:val="false"/>
          <w:iCs w:val="false"/>
          <w:color w:val="000000"/>
          <w:sz w:val="36"/>
          <w:szCs w:val="36"/>
        </w:rPr>
        <w:t xml:space="preserve">4. Overall Findings Summary</w:t>
      </w:r>
    </w:p>
    <w:tbl>
      <w:tblPr>
        <w:tblW w:type="dxa" w:w="1108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1400"/>
        <w:gridCol w:w="1400"/>
        <w:gridCol w:w="1400"/>
        <w:gridCol w:w="3880"/>
      </w:tblGrid>
      <w:tr>
        <w:trPr>
          <w:cantSplit/>
          <w:tblHeader/>
        </w:trPr>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Domain</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Compliant</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Partial</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Gap</w:t>
            </w:r>
          </w:p>
        </w:tc>
        <w:tc>
          <w:tcPr>
            <w:tcW w:type="dxa" w:w="3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Headline finding</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Governance and policy (Clauses 5–6)</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7</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ISMS governance structure, no owned policies, no risk register until this programme.</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Asset management (Annex A 5.9–5.14)</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centralised asset inventory. Three partial lists, none authoritative.</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Access control (Annex A 5.15–5.18)</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and Entra ID are genuine strengths. Access review cadence is not met.</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Cryptography (Annex A 8.24)</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 and in transit is standard practice. Key management documentation is the gap.</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Physical security (Annex A 7)</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physical security is inherited. Office physical controls exist but are undocumented.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Operations security (Annex A 8.1–8.23)</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EDR and SIEM deployed. Monitoring is technically capable; procedures and evidence are absent.</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Supplier relationships (Annex A 5.19–5.22)</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Assessment practice inconsistent. Key backup/DR vendor never assessed.</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management (Annex A 5.24–5.28)</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exists on paper. Never tested. Two incidents handled by improvisation.</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Business continuity (Annex A 5.29–5.30)</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Backups regional and operational. End-to-end DR untested; RTO unknown.</w:t>
            </w:r>
          </w:p>
        </w:tc>
      </w:tr>
      <w:tr>
        <w:trPr>
          <w:cantSplit/>
        </w:trPr>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Compliance (Annex A 5.31–5.36)</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w:t>
            </w:r>
          </w:p>
        </w:tc>
        <w:tc>
          <w:tcPr>
            <w:tcW w:type="dxa" w:w="3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obligations tracked per-deal. CERT-In 6-hour path not documented. No DPA review.</w:t>
            </w:r>
          </w:p>
        </w:tc>
      </w:tr>
      <w:tr>
        <w:trPr>
          <w:cantSplit/>
        </w:trPr>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development (Annex A 8.25–8.34)</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4</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5</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w:t>
            </w:r>
          </w:p>
        </w:tc>
        <w:tc>
          <w:tcPr>
            <w:tcW w:type="dxa" w:w="3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branch protection and code review are genuine strengths. SDLC is not documented.</w:t>
            </w:r>
          </w:p>
        </w:tc>
      </w:tr>
    </w:tbl>
    <w:p>
      <w:pPr>
        <w:spacing w:after="140" w:before="80"/>
        <w:jc w:val="left"/>
      </w:pPr>
      <w:r>
        <w:rPr>
          <w:rFonts w:ascii="Aptos" w:cs="Aptos" w:eastAsia="Aptos" w:hAnsi="Aptos"/>
          <w:b w:val="false"/>
          <w:bCs w:val="false"/>
          <w:i w:val="false"/>
          <w:iCs w:val="false"/>
          <w:color w:val="000000"/>
          <w:sz w:val="24"/>
          <w:szCs w:val="24"/>
        </w:rPr>
        <w:t xml:space="preserve">Total:  </w:t>
      </w:r>
      <w:r>
        <w:rPr>
          <w:rFonts w:ascii="Aptos" w:cs="Aptos" w:eastAsia="Aptos" w:hAnsi="Aptos"/>
          <w:b/>
          <w:bCs/>
          <w:i w:val="false"/>
          <w:iCs w:val="false"/>
          <w:color w:val="000000"/>
          <w:sz w:val="24"/>
          <w:szCs w:val="24"/>
        </w:rPr>
        <w:t xml:space="preserve">93 controls assessed — 21 Compliant  |  38 Partial  |  27 Gap  |  7 N/A</w:t>
      </w:r>
    </w:p>
    <w:p>
      <w:pPr>
        <w:spacing w:after="140" w:before="80"/>
      </w:pPr>
      <w:r>
        <w:rPr>
          <w:rFonts w:ascii="Aptos" w:cs="Aptos" w:eastAsia="Aptos" w:hAnsi="Aptos"/>
          <w:b w:val="false"/>
          <w:bCs w:val="false"/>
          <w:i w:val="false"/>
          <w:iCs w:val="false"/>
          <w:color w:val="000000"/>
          <w:sz w:val="24"/>
          <w:szCs w:val="24"/>
        </w:rPr>
        <w:t xml:space="preserve">Total: 93 controls assessed — </w:t>
      </w:r>
      <w:r>
        <w:rPr>
          <w:rFonts w:ascii="Aptos" w:cs="Aptos" w:eastAsia="Aptos" w:hAnsi="Aptos"/>
          <w:b/>
          <w:bCs/>
          <w:i w:val="false"/>
          <w:iCs w:val="false"/>
          <w:color w:val="000000"/>
          <w:sz w:val="24"/>
          <w:szCs w:val="24"/>
        </w:rPr>
        <w:t xml:space="preserve">21 Compliant  |  38 Partial  |  27 Gap  |  7 N/A</w:t>
      </w:r>
    </w:p>
    <w:p>
      <w:pPr>
        <w:pStyle w:val="Heading1"/>
        <w:spacing w:after="140" w:before="320"/>
      </w:pPr>
      <w:r>
        <w:rPr>
          <w:rFonts w:ascii="Aptos" w:cs="Aptos" w:eastAsia="Aptos" w:hAnsi="Aptos"/>
          <w:b/>
          <w:bCs/>
          <w:i w:val="false"/>
          <w:iCs w:val="false"/>
          <w:color w:val="000000"/>
          <w:sz w:val="36"/>
          <w:szCs w:val="36"/>
        </w:rPr>
        <w:t xml:space="preserve">5. Domain Findings</w:t>
      </w:r>
    </w:p>
    <w:p>
      <w:pPr>
        <w:pStyle w:val="Heading2"/>
        <w:spacing w:after="140" w:before="220"/>
      </w:pPr>
      <w:r>
        <w:rPr>
          <w:rFonts w:ascii="Aptos" w:cs="Aptos" w:eastAsia="Aptos" w:hAnsi="Aptos"/>
          <w:b/>
          <w:bCs/>
          <w:i w:val="false"/>
          <w:iCs w:val="false"/>
          <w:color w:val="000000"/>
          <w:sz w:val="32"/>
          <w:szCs w:val="32"/>
        </w:rPr>
        <w:t xml:space="preserve">5.1 Governance and Policy</w:t>
      </w:r>
    </w:p>
    <w:p>
      <w:pPr>
        <w:spacing w:after="140" w:before="0"/>
        <w:jc w:val="left"/>
      </w:pPr>
      <w:r>
        <w:rPr>
          <w:rFonts w:ascii="Aptos" w:cs="Aptos" w:eastAsia="Aptos" w:hAnsi="Aptos"/>
          <w:b w:val="false"/>
          <w:bCs w:val="false"/>
          <w:i w:val="false"/>
          <w:iCs w:val="false"/>
          <w:color w:val="000000"/>
          <w:sz w:val="24"/>
          <w:szCs w:val="24"/>
        </w:rPr>
        <w:t xml:space="preserve">MediSync had no named information security owner, no ISMS governance committee, and no organisational risk register at the time of the Board decision in January 2026. Policies exist — written by individual departments at different times — but contain inconsistent terminology and, in at least one case, contradictory definitions of "sensitive data." No single policy has a current, identified owner.</w:t>
      </w:r>
    </w:p>
    <w:p>
      <w:pPr>
        <w:spacing w:after="140" w:before="0"/>
        <w:jc w:val="left"/>
      </w:pPr>
      <w:r>
        <w:rPr>
          <w:rFonts w:ascii="Aptos" w:cs="Aptos" w:eastAsia="Aptos" w:hAnsi="Aptos"/>
          <w:b w:val="false"/>
          <w:bCs w:val="false"/>
          <w:i w:val="false"/>
          <w:iCs w:val="false"/>
          <w:color w:val="000000"/>
          <w:sz w:val="24"/>
          <w:szCs w:val="24"/>
        </w:rPr>
        <w:t xml:space="preserve">Project HealthSec directly addresses governance: the CISO was appointed (ISMS-LDR-007), the Steering Committee constituted (ISMS-INI-001 Section 8) and the ISMS Manager function created. These are in place. The remaining gaps are the policy suite, the risk framework and the documented ISMS objectives — all Phase 2–3 deliverables.</w:t>
      </w:r>
    </w:p>
    <w:p>
      <w:pPr>
        <w:pStyle w:val="Heading2"/>
        <w:spacing w:after="140" w:before="220"/>
      </w:pPr>
      <w:r>
        <w:rPr>
          <w:rFonts w:ascii="Aptos" w:cs="Aptos" w:eastAsia="Aptos" w:hAnsi="Aptos"/>
          <w:b/>
          <w:bCs/>
          <w:i w:val="false"/>
          <w:iCs w:val="false"/>
          <w:color w:val="000000"/>
          <w:sz w:val="32"/>
          <w:szCs w:val="32"/>
        </w:rPr>
        <w:t xml:space="preserve">5.2 Asset Management</w:t>
      </w:r>
    </w:p>
    <w:p>
      <w:pPr>
        <w:spacing w:after="140" w:before="0"/>
        <w:jc w:val="left"/>
      </w:pPr>
      <w:r>
        <w:rPr>
          <w:rFonts w:ascii="Aptos" w:cs="Aptos" w:eastAsia="Aptos" w:hAnsi="Aptos"/>
          <w:b w:val="false"/>
          <w:bCs w:val="false"/>
          <w:i w:val="false"/>
          <w:iCs w:val="false"/>
          <w:color w:val="000000"/>
          <w:sz w:val="24"/>
          <w:szCs w:val="24"/>
        </w:rPr>
        <w:t xml:space="preserve">This is the most critical single gap. Engineering, IT Operations and Product each maintain partial lists of information assets for their own purposes. None is treated as authoritative, none is complete and none is shared. The result: MediSync cannot answer the most basic questions an auditor or an enterprise customer will ask — what systems hold patient data, who owns each, and what is the blast radius of a failure?</w:t>
      </w:r>
    </w:p>
    <w:p>
      <w:pPr>
        <w:spacing w:after="140" w:before="0"/>
        <w:jc w:val="left"/>
      </w:pPr>
      <w:r>
        <w:rPr>
          <w:rFonts w:ascii="Aptos" w:cs="Aptos" w:eastAsia="Aptos" w:hAnsi="Aptos"/>
          <w:b w:val="false"/>
          <w:bCs w:val="false"/>
          <w:i w:val="false"/>
          <w:iCs w:val="false"/>
          <w:color w:val="000000"/>
          <w:sz w:val="24"/>
          <w:szCs w:val="24"/>
        </w:rPr>
        <w:t xml:space="preserve">The Information Asset Register (ISMS-PLN-003) is a Phase 3 gating deliverable and cannot be deferred. The scope document (ISMS-INI-011) mandates that the shared platform layer — identity, API-GW, data tier, backup — is registered first, before product-layer assets.</w:t>
      </w:r>
    </w:p>
    <w:p>
      <w:pPr>
        <w:pStyle w:val="Heading2"/>
        <w:spacing w:after="140" w:before="220"/>
      </w:pPr>
      <w:r>
        <w:rPr>
          <w:rFonts w:ascii="Aptos" w:cs="Aptos" w:eastAsia="Aptos" w:hAnsi="Aptos"/>
          <w:b/>
          <w:bCs/>
          <w:i w:val="false"/>
          <w:iCs w:val="false"/>
          <w:color w:val="000000"/>
          <w:sz w:val="32"/>
          <w:szCs w:val="32"/>
        </w:rPr>
        <w:t xml:space="preserve">5.3 Access Control</w:t>
      </w:r>
    </w:p>
    <w:p>
      <w:pPr>
        <w:spacing w:after="140" w:before="0"/>
        <w:jc w:val="left"/>
      </w:pPr>
      <w:r>
        <w:rPr>
          <w:rFonts w:ascii="Aptos" w:cs="Aptos" w:eastAsia="Aptos" w:hAnsi="Aptos"/>
          <w:b w:val="false"/>
          <w:bCs w:val="false"/>
          <w:i w:val="false"/>
          <w:iCs w:val="false"/>
          <w:color w:val="000000"/>
          <w:sz w:val="24"/>
          <w:szCs w:val="24"/>
        </w:rPr>
        <w:t xml:space="preserve">MFA enforced via Microsoft Entra ID across all staff and customer-facing accounts is a genuine and material control strength — it directly reduces the credential-theft blast radius from phishing. The access control gap is at the process level: formal, scheduled access reviews for hospital-facing admin accounts have not occurred consistently. The last full review was more than a year old at the Board decision date. This is RISK-PRE-04 in the preliminary risk register and carries a High rating.</w:t>
      </w:r>
    </w:p>
    <w:p>
      <w:pPr>
        <w:pStyle w:val="Heading2"/>
        <w:spacing w:after="140" w:before="220"/>
      </w:pPr>
      <w:r>
        <w:rPr>
          <w:rFonts w:ascii="Aptos" w:cs="Aptos" w:eastAsia="Aptos" w:hAnsi="Aptos"/>
          <w:b/>
          <w:bCs/>
          <w:i w:val="false"/>
          <w:iCs w:val="false"/>
          <w:color w:val="000000"/>
          <w:sz w:val="32"/>
          <w:szCs w:val="32"/>
        </w:rPr>
        <w:t xml:space="preserve">5.4 Cryptography</w:t>
      </w:r>
    </w:p>
    <w:p>
      <w:pPr>
        <w:spacing w:after="140" w:before="0"/>
        <w:jc w:val="left"/>
      </w:pPr>
      <w:r>
        <w:rPr>
          <w:rFonts w:ascii="Aptos" w:cs="Aptos" w:eastAsia="Aptos" w:hAnsi="Aptos"/>
          <w:b w:val="false"/>
          <w:bCs w:val="false"/>
          <w:i w:val="false"/>
          <w:iCs w:val="false"/>
          <w:color w:val="000000"/>
          <w:sz w:val="24"/>
          <w:szCs w:val="24"/>
        </w:rPr>
        <w:t xml:space="preserve">Encryption at rest and in transit is standard practice across all products and both cloud regions — this is the strongest domain in the assessment. The partial finding relates to key management: there is no documented key management procedure and no formal key rotation schedule. This is a procedural gap, not a technical one, and is addressed in ISMS-OPS-001.</w:t>
      </w:r>
    </w:p>
    <w:p>
      <w:pPr>
        <w:pStyle w:val="Heading2"/>
        <w:spacing w:after="140" w:before="220"/>
      </w:pPr>
      <w:r>
        <w:rPr>
          <w:rFonts w:ascii="Aptos" w:cs="Aptos" w:eastAsia="Aptos" w:hAnsi="Aptos"/>
          <w:b/>
          <w:bCs/>
          <w:i w:val="false"/>
          <w:iCs w:val="false"/>
          <w:color w:val="000000"/>
          <w:sz w:val="32"/>
          <w:szCs w:val="32"/>
        </w:rPr>
        <w:t xml:space="preserve">5.5 Physical Security</w:t>
      </w:r>
    </w:p>
    <w:p>
      <w:pPr>
        <w:spacing w:after="140" w:before="0"/>
        <w:jc w:val="left"/>
      </w:pPr>
      <w:r>
        <w:rPr>
          <w:rFonts w:ascii="Aptos" w:cs="Aptos" w:eastAsia="Aptos" w:hAnsi="Aptos"/>
          <w:b w:val="false"/>
          <w:bCs w:val="false"/>
          <w:i w:val="false"/>
          <w:iCs w:val="false"/>
          <w:color w:val="000000"/>
          <w:sz w:val="24"/>
          <w:szCs w:val="24"/>
        </w:rPr>
        <w:t xml:space="preserve">MediSync does not operate physical data centres — cloud hosting is inherited from AWS and Azure, both independently ISO 27001 certified. This removes a large category of Annex A controls from scope. Office physical security across Bengaluru, Pune, Hyderabad and Dubai is reasonable: access card control exists, CCTV is installed in server rooms. The gap is documentation — no formal clean-desk policy, no visitor management procedure, no screen-lock policy is written and distributed.</w:t>
      </w:r>
    </w:p>
    <w:p>
      <w:pPr>
        <w:pStyle w:val="Heading2"/>
        <w:spacing w:after="140" w:before="220"/>
      </w:pPr>
      <w:r>
        <w:rPr>
          <w:rFonts w:ascii="Aptos" w:cs="Aptos" w:eastAsia="Aptos" w:hAnsi="Aptos"/>
          <w:b/>
          <w:bCs/>
          <w:i w:val="false"/>
          <w:iCs w:val="false"/>
          <w:color w:val="000000"/>
          <w:sz w:val="32"/>
          <w:szCs w:val="32"/>
        </w:rPr>
        <w:t xml:space="preserve">5.6 Operations Security</w:t>
      </w:r>
    </w:p>
    <w:p>
      <w:pPr>
        <w:spacing w:after="140" w:before="0"/>
        <w:jc w:val="left"/>
      </w:pPr>
      <w:r>
        <w:rPr>
          <w:rFonts w:ascii="Aptos" w:cs="Aptos" w:eastAsia="Aptos" w:hAnsi="Aptos"/>
          <w:b w:val="false"/>
          <w:bCs w:val="false"/>
          <w:i w:val="false"/>
          <w:iCs w:val="false"/>
          <w:color w:val="000000"/>
          <w:sz w:val="24"/>
          <w:szCs w:val="24"/>
        </w:rPr>
        <w:t xml:space="preserve">CrowdStrike Falcon (EDR) and Microsoft Sentinel (SIEM) are deployed and technically capable — this is a strength. The gap is the distance between technical capability and operational practice. There are no documented SOC procedures, no formalised SIEM alert logic review cadence, and no written vulnerability scanning schedule despite Tenable Nessus being in use. Evidence of control operation — not the control itself — is what an auditor will ask for at Stage 2. ISMS-OPS-001 and ISMS-OPS-002 close this gap.</w:t>
      </w:r>
    </w:p>
    <w:p>
      <w:pPr>
        <w:pStyle w:val="Heading2"/>
        <w:spacing w:after="140" w:before="220"/>
      </w:pPr>
      <w:r>
        <w:rPr>
          <w:rFonts w:ascii="Aptos" w:cs="Aptos" w:eastAsia="Aptos" w:hAnsi="Aptos"/>
          <w:b/>
          <w:bCs/>
          <w:i w:val="false"/>
          <w:iCs w:val="false"/>
          <w:color w:val="000000"/>
          <w:sz w:val="32"/>
          <w:szCs w:val="32"/>
        </w:rPr>
        <w:t xml:space="preserve">5.7 Supplier Relationships</w:t>
      </w:r>
    </w:p>
    <w:p>
      <w:pPr>
        <w:spacing w:after="140" w:before="0"/>
        <w:jc w:val="left"/>
      </w:pPr>
      <w:r>
        <w:rPr>
          <w:rFonts w:ascii="Aptos" w:cs="Aptos" w:eastAsia="Aptos" w:hAnsi="Aptos"/>
          <w:b w:val="false"/>
          <w:bCs w:val="false"/>
          <w:i w:val="false"/>
          <w:iCs w:val="false"/>
          <w:color w:val="000000"/>
          <w:sz w:val="24"/>
          <w:szCs w:val="24"/>
        </w:rPr>
        <w:t xml:space="preserve">Vendor security assessment practice is deal-dependent rather than systematic. VaultArchive DR Services, which holds encrypted backup archives, has never been formally assessed. SentinelWatch MSSP, which co-manages the SOC and holds SIEM data, has a relationship governed by a commercial agreement but not a documented security schedule. Both are Tier 1 vendors and must be assessed before the M-05 gate. The Head of Procurement role is vacant — the ISMS Manager holds interim ownership.</w:t>
      </w:r>
    </w:p>
    <w:p>
      <w:pPr>
        <w:pStyle w:val="Heading2"/>
        <w:spacing w:after="140" w:before="220"/>
      </w:pPr>
      <w:r>
        <w:rPr>
          <w:rFonts w:ascii="Aptos" w:cs="Aptos" w:eastAsia="Aptos" w:hAnsi="Aptos"/>
          <w:b/>
          <w:bCs/>
          <w:i w:val="false"/>
          <w:iCs w:val="false"/>
          <w:color w:val="000000"/>
          <w:sz w:val="32"/>
          <w:szCs w:val="32"/>
        </w:rPr>
        <w:t xml:space="preserve">5.8 Incident Management</w:t>
      </w:r>
    </w:p>
    <w:p>
      <w:pPr>
        <w:spacing w:after="140" w:before="0"/>
        <w:jc w:val="left"/>
      </w:pPr>
      <w:r>
        <w:rPr>
          <w:rFonts w:ascii="Aptos" w:cs="Aptos" w:eastAsia="Aptos" w:hAnsi="Aptos"/>
          <w:b w:val="false"/>
          <w:bCs w:val="false"/>
          <w:i w:val="false"/>
          <w:iCs w:val="false"/>
          <w:color w:val="000000"/>
          <w:sz w:val="24"/>
          <w:szCs w:val="24"/>
        </w:rPr>
        <w:t xml:space="preserve">An incident response plan was written approximately two years ago by an engineer who has since left. It exists on paper and has never been tested. Both real incidents in the prior 18 months — the phishing near-miss and the cloud misconfiguration — were handled by Engineering improvisation, not by following the plan. The plan also predates the CERT-In 2022 reporting rules and does not include the six-hour CERT-In notification path or the UAE PDPL notification path.</w:t>
      </w:r>
    </w:p>
    <w:p>
      <w:pPr>
        <w:spacing w:after="140" w:before="0"/>
        <w:jc w:val="left"/>
      </w:pPr>
      <w:r>
        <w:rPr>
          <w:rFonts w:ascii="Aptos" w:cs="Aptos" w:eastAsia="Aptos" w:hAnsi="Aptos"/>
          <w:b w:val="false"/>
          <w:bCs w:val="false"/>
          <w:i w:val="false"/>
          <w:iCs w:val="false"/>
          <w:color w:val="000000"/>
          <w:sz w:val="24"/>
          <w:szCs w:val="24"/>
        </w:rPr>
        <w:t xml:space="preserve">This is a High-rated gap. The rewritten incident management procedure (ISMS-OPS-005) must include all three notification tracks (DPDP, CERT-In, UAE PDPL), and a tabletop exercise must be completed before the M-05 gate.</w:t>
      </w:r>
    </w:p>
    <w:p>
      <w:pPr>
        <w:pStyle w:val="Heading2"/>
        <w:spacing w:after="140" w:before="220"/>
      </w:pPr>
      <w:r>
        <w:rPr>
          <w:rFonts w:ascii="Aptos" w:cs="Aptos" w:eastAsia="Aptos" w:hAnsi="Aptos"/>
          <w:b/>
          <w:bCs/>
          <w:i w:val="false"/>
          <w:iCs w:val="false"/>
          <w:color w:val="000000"/>
          <w:sz w:val="32"/>
          <w:szCs w:val="32"/>
        </w:rPr>
        <w:t xml:space="preserve">5.9 Business Continuity</w:t>
      </w:r>
    </w:p>
    <w:p>
      <w:pPr>
        <w:spacing w:after="140" w:before="0"/>
        <w:jc w:val="left"/>
      </w:pPr>
      <w:r>
        <w:rPr>
          <w:rFonts w:ascii="Aptos" w:cs="Aptos" w:eastAsia="Aptos" w:hAnsi="Aptos"/>
          <w:b w:val="false"/>
          <w:bCs w:val="false"/>
          <w:i w:val="false"/>
          <w:iCs w:val="false"/>
          <w:color w:val="000000"/>
          <w:sz w:val="24"/>
          <w:szCs w:val="24"/>
        </w:rPr>
        <w:t xml:space="preserve">Backups are operational, region-appropriate and configured to maintain India/UAE data separation. The gap is that end-to-end disaster recovery has never been tested. MediSync does not know, with evidence, what its actual RTO is under a real failure. This is RISK-PRE-06. The BCDR plan (ISMS-OPS-007) and an end-to-end DR test — including customer notification for the 14 enterprise customers with dedicated infrastructure — are M-05 gate conditions.</w:t>
      </w:r>
    </w:p>
    <w:p>
      <w:pPr>
        <w:pStyle w:val="Heading2"/>
        <w:spacing w:after="140" w:before="220"/>
      </w:pPr>
      <w:r>
        <w:rPr>
          <w:rFonts w:ascii="Aptos" w:cs="Aptos" w:eastAsia="Aptos" w:hAnsi="Aptos"/>
          <w:b/>
          <w:bCs/>
          <w:i w:val="false"/>
          <w:iCs w:val="false"/>
          <w:color w:val="000000"/>
          <w:sz w:val="32"/>
          <w:szCs w:val="32"/>
        </w:rPr>
        <w:t xml:space="preserve">5.10 Compliance</w:t>
      </w:r>
    </w:p>
    <w:p>
      <w:pPr>
        <w:spacing w:after="140" w:before="0"/>
        <w:jc w:val="left"/>
      </w:pPr>
      <w:r>
        <w:rPr>
          <w:rFonts w:ascii="Aptos" w:cs="Aptos" w:eastAsia="Aptos" w:hAnsi="Aptos"/>
          <w:b w:val="false"/>
          <w:bCs w:val="false"/>
          <w:i w:val="false"/>
          <w:iCs w:val="false"/>
          <w:color w:val="000000"/>
          <w:sz w:val="24"/>
          <w:szCs w:val="24"/>
        </w:rPr>
        <w:t xml:space="preserve">Regulatory and contractual obligations are tracked informally and per-deal. There is no central register. CERT-In's six-hour reporting requirement is not documented in any existing procedure. The DPO threshold assessment required under UAE PDPL has not been conducted. Data processing agreements with customers have not been systematically reviewed against DPDP Act or UAE PDPL requirements. ISMS-INI-010, produced in Phase 1, closes the central register gap. The outstanding actions in that register are Phase 1 and Phase 5 deliverables.</w:t>
      </w:r>
    </w:p>
    <w:p>
      <w:pPr>
        <w:pStyle w:val="Heading2"/>
        <w:spacing w:after="140" w:before="220"/>
      </w:pPr>
      <w:r>
        <w:rPr>
          <w:rFonts w:ascii="Aptos" w:cs="Aptos" w:eastAsia="Aptos" w:hAnsi="Aptos"/>
          <w:b/>
          <w:bCs/>
          <w:i w:val="false"/>
          <w:iCs w:val="false"/>
          <w:color w:val="000000"/>
          <w:sz w:val="32"/>
          <w:szCs w:val="32"/>
        </w:rPr>
        <w:t xml:space="preserve">5.11 Secure Development</w:t>
      </w:r>
    </w:p>
    <w:p>
      <w:pPr>
        <w:spacing w:after="140" w:before="0"/>
        <w:jc w:val="left"/>
      </w:pPr>
      <w:r>
        <w:rPr>
          <w:rFonts w:ascii="Aptos" w:cs="Aptos" w:eastAsia="Aptos" w:hAnsi="Aptos"/>
          <w:b w:val="false"/>
          <w:bCs w:val="false"/>
          <w:i w:val="false"/>
          <w:iCs w:val="false"/>
          <w:color w:val="000000"/>
          <w:sz w:val="24"/>
          <w:szCs w:val="24"/>
        </w:rPr>
        <w:t xml:space="preserve">This is the second strongest domain. GitHub Enterprise branch protection and mandatory code review are in place and consistently followed. DevSecOps CI/CD pipelines include security scanning steps. The gap is that none of this is documented in a formal SDLC security procedure. The Engineering team carries significant security knowledge in practice; the ISMS's job is to document it so it is not lost and can be evidenced.</w:t>
      </w:r>
    </w:p>
    <w:p>
      <w:pPr>
        <w:pStyle w:val="Heading1"/>
        <w:spacing w:after="140" w:before="320"/>
      </w:pPr>
      <w:r>
        <w:rPr>
          <w:rFonts w:ascii="Aptos" w:cs="Aptos" w:eastAsia="Aptos" w:hAnsi="Aptos"/>
          <w:b/>
          <w:bCs/>
          <w:i w:val="false"/>
          <w:iCs w:val="false"/>
          <w:color w:val="000000"/>
          <w:sz w:val="36"/>
          <w:szCs w:val="36"/>
        </w:rPr>
        <w:t xml:space="preserve">6. Priority Gap Register</w:t>
      </w:r>
    </w:p>
    <w:p>
      <w:pPr>
        <w:spacing w:after="140" w:before="0"/>
        <w:jc w:val="left"/>
      </w:pPr>
      <w:r>
        <w:rPr>
          <w:rFonts w:ascii="Aptos" w:cs="Aptos" w:eastAsia="Aptos" w:hAnsi="Aptos"/>
          <w:b w:val="false"/>
          <w:bCs w:val="false"/>
          <w:i w:val="false"/>
          <w:iCs w:val="false"/>
          <w:color w:val="000000"/>
          <w:sz w:val="24"/>
          <w:szCs w:val="24"/>
        </w:rPr>
        <w:t xml:space="preserve">Critical and High gaps require corrective action before Stage 1 certification audit. Medium gaps must be addressed before Stage 2. Low gaps should be tracked in the continual improvement log.</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700"/>
        <w:gridCol w:w="3100"/>
        <w:gridCol w:w="1100"/>
        <w:gridCol w:w="2000"/>
        <w:gridCol w:w="1600"/>
        <w:gridCol w:w="1580"/>
      </w:tblGrid>
      <w:tr>
        <w:trPr>
          <w:cantSplit/>
          <w:tblHeader/>
        </w:trPr>
        <w:tc>
          <w:tcPr>
            <w:tcW w:type="dxa" w:w="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Gap Ref</w:t>
            </w:r>
          </w:p>
        </w:tc>
        <w:tc>
          <w:tcPr>
            <w:tcW w:type="dxa" w:w="31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Gap Description</w:t>
            </w:r>
          </w:p>
        </w:tc>
        <w:tc>
          <w:tcPr>
            <w:tcW w:type="dxa" w:w="11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Priority</w:t>
            </w:r>
          </w:p>
        </w:tc>
        <w:tc>
          <w:tcPr>
            <w:tcW w:type="dxa" w:w="2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Phase / Deliverable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Gate</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G-01</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centralised information asset register — no authoritative list of what systems hold patient data or who owns them</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ISMS-PLN-003</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G-02</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organisational risk register or risk assessment methodology</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ISMS-PLN-001 / PLN-004</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G-03</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Statement of Applicability — Annex A control selection not documented</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 — ISMS-PLN-006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G-04</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Hospital-facing admin account access reviews overdue by more than one year</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ISMS-OPS-009</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G-05</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Incident response plan predates current regulations; never tested; does not include CERT-In or UAE PDPL notification paths</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ISMS-OPS-005 + tabletop</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G-06</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End-to-end disaster recovery never tested; RTO unknown</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Critical</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ISMS-OPS-007 + DR test</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G-07</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DR vendor (holds backup archives) never formally security-assessed</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ISMS-OPS-003</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G-08</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policies inconsistent, authored independently, no single current owner per policy</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ISMS-LDR-001 suite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M-02</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G-09</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procedures not documented; SIEM alert rules and EDR coverage not formalised</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G-10</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training not extended beyond Engineering — Sales, Customer Success and Finance not covered</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 — ISMS-SUP-005</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G-11</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configuration change process not documented; no evidence of configuration baseline or review cadence</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G-12</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DPO threshold assessment (UAE PDPL) not conducted; DPA review not complete</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ISMS-INI-010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G-13</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CERT-In six-hour reporting path not documented in any existing procedure</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 / Omar Al Mansoori</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G-14</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Key management procedure and key rotation schedule not documented</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G-15</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Vulnerability scanning cadence not formalised; no documented schedule</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G-16</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Secure SDLC not formally documented; Engineering practice undocumented despite being consistently followed</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Advait Deshmukh</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G-17</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Office physical security controls (clean-desk, screen-lock, visitor management) not documented</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IT Operations Lead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G-18</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Contractual breach notification SLAs not centrally tracked; some are stricter than regulatory defaults</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1 — ISMS-INI-010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w:t>
            </w:r>
          </w:p>
        </w:tc>
      </w:tr>
      <w:tr>
        <w:trPr>
          <w:cantSplit/>
        </w:trPr>
        <w:tc>
          <w:tcPr>
            <w:tcW w:type="dxa" w:w="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G-19</w:t>
            </w:r>
          </w:p>
        </w:tc>
        <w:tc>
          <w:tcPr>
            <w:tcW w:type="dxa" w:w="3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Sub-processor (vendor) notification obligations not mapped per enterprise contract</w:t>
            </w:r>
          </w:p>
        </w:tc>
        <w:tc>
          <w:tcPr>
            <w:tcW w:type="dxa" w:w="11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ISMS-OPS-003 / 004</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r>
        <w:trPr>
          <w:cantSplit/>
        </w:trPr>
        <w:tc>
          <w:tcPr>
            <w:tcW w:type="dxa" w:w="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G-20</w:t>
            </w:r>
          </w:p>
        </w:tc>
        <w:tc>
          <w:tcPr>
            <w:tcW w:type="dxa" w:w="3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retention and deletion schedule per data category not documented</w:t>
            </w:r>
          </w:p>
        </w:tc>
        <w:tc>
          <w:tcPr>
            <w:tcW w:type="dxa" w:w="11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2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 — ISMS-OPS-001</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r>
    </w:tbl>
    <w:p>
      <w:pPr>
        <w:pStyle w:val="Heading1"/>
        <w:spacing w:after="140" w:before="320"/>
      </w:pPr>
      <w:r>
        <w:rPr>
          <w:rFonts w:ascii="Aptos" w:cs="Aptos" w:eastAsia="Aptos" w:hAnsi="Aptos"/>
          <w:b/>
          <w:bCs/>
          <w:i w:val="false"/>
          <w:iCs w:val="false"/>
          <w:color w:val="000000"/>
          <w:sz w:val="36"/>
          <w:szCs w:val="36"/>
        </w:rPr>
        <w:t xml:space="preserve">7. Confirmed Control Strengths</w:t>
      </w:r>
    </w:p>
    <w:p>
      <w:pPr>
        <w:spacing w:after="140" w:before="0"/>
        <w:jc w:val="left"/>
      </w:pPr>
      <w:r>
        <w:rPr>
          <w:rFonts w:ascii="Aptos" w:cs="Aptos" w:eastAsia="Aptos" w:hAnsi="Aptos"/>
          <w:b w:val="false"/>
          <w:bCs w:val="false"/>
          <w:i w:val="false"/>
          <w:iCs w:val="false"/>
          <w:color w:val="000000"/>
          <w:sz w:val="24"/>
          <w:szCs w:val="24"/>
        </w:rPr>
        <w:t xml:space="preserve">These controls are Compliant at assessment and require only documentation and evidence capture, not implementation. They reduce Phase 5 cost and timeline risk.</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7280"/>
      </w:tblGrid>
      <w:tr>
        <w:trPr>
          <w:cantSplit/>
          <w:tblHeader/>
        </w:trPr>
        <w:tc>
          <w:tcPr>
            <w:tcW w:type="dxa" w:w="2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Control strength</w:t>
            </w:r>
          </w:p>
        </w:tc>
        <w:tc>
          <w:tcPr>
            <w:tcW w:type="dxa" w:w="7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Evidence basis</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MFA via Microsoft Entra ID — all staff and customer-facing accounts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Verified in Entra ID configuration. MFA enforced for all administrative and remote access. No exceptions found.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Encryption at rest and in transit — all products and both regions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Verified in AWS KMS and Azure Key Vault configurations. PostgreSQL TDE confirmed. TLS enforced at API-GW layer.</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CrowdStrike Falcon EDR — all corporate endpoints</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Deployment confirmed across ~460 managed corporate endpoints. Alert coverage reviewed and found technically comprehensive.</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Microsoft Sentinel SIEM — aggregating cloud, application and endpoint logs</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Log sources confirmed operational. Sentinel workspace active in both regions. Alert rules present. Gap: rules not documented or reviewed against a defined coverage standard.</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GitHub Enterprise branch protection and mandatory code review</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Branch protection confirmed on all main branches across all eight product repositories. Code review policy enforced — no direct push to main without review.</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Data residency controls — India/AWS and UAE/Azure separation</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Cross-region data flow analysis confirmed: clinical data does not cross the India/UAE boundary. Corporate data (billing, contracts) separation is the only exception, assessed as permissible.</w:t>
            </w:r>
          </w:p>
        </w:tc>
      </w:tr>
      <w:tr>
        <w:trPr>
          <w:cantSplit/>
        </w:trPr>
        <w:tc>
          <w:tcPr>
            <w:tcW w:type="dxa" w:w="2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Palo Alto NGFW network segmentation — public edge, application tier, data tier</w:t>
            </w:r>
          </w:p>
        </w:tc>
        <w:tc>
          <w:tcPr>
            <w:tcW w:type="dxa" w:w="7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Firewall rules reviewed. Data tier not directly reachable from the public internet. Segmentation design is sound and consistently applied.</w:t>
            </w:r>
          </w:p>
        </w:tc>
      </w:tr>
      <w:tr>
        <w:trPr>
          <w:cantSplit/>
        </w:trPr>
        <w:tc>
          <w:tcPr>
            <w:tcW w:type="dxa" w:w="2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Six enterprise customer VPC/VNet environments — isolated at infrastructure level</w:t>
            </w:r>
          </w:p>
        </w:tc>
        <w:tc>
          <w:tcPr>
            <w:tcW w:type="dxa" w:w="7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in AWS and Azure configuration. Dedicated environments are isolated from the multi-tenant shared environment at the network level.</w:t>
            </w:r>
          </w:p>
        </w:tc>
      </w:tr>
    </w:tbl>
    <w:p>
      <w:pPr>
        <w:pStyle w:val="Heading1"/>
        <w:spacing w:after="140" w:before="320"/>
      </w:pPr>
      <w:r>
        <w:rPr>
          <w:rFonts w:ascii="Aptos" w:cs="Aptos" w:eastAsia="Aptos" w:hAnsi="Aptos"/>
          <w:b/>
          <w:bCs/>
          <w:i w:val="false"/>
          <w:iCs w:val="false"/>
          <w:color w:val="000000"/>
          <w:sz w:val="36"/>
          <w:szCs w:val="36"/>
        </w:rPr>
        <w:t xml:space="preserve">8. Preliminary Risks — Confirmed by Assessment</w:t>
      </w:r>
    </w:p>
    <w:p>
      <w:pPr>
        <w:spacing w:after="140" w:before="0"/>
        <w:jc w:val="left"/>
      </w:pPr>
      <w:r>
        <w:rPr>
          <w:rFonts w:ascii="Aptos" w:cs="Aptos" w:eastAsia="Aptos" w:hAnsi="Aptos"/>
          <w:b w:val="false"/>
          <w:bCs w:val="false"/>
          <w:i w:val="false"/>
          <w:iCs w:val="false"/>
          <w:color w:val="000000"/>
          <w:sz w:val="24"/>
          <w:szCs w:val="24"/>
        </w:rPr>
        <w:t xml:space="preserve">These are the RISK-PRE entries from ISMS-INI-006 Section 8, confirmed by assessment evidence. They are carried forward to ISMS-PLN-004 as Phase 3 inputs. Ratings will be formally scored using the risk methodology (ISMS-PLN-001).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3600"/>
        <w:gridCol w:w="1200"/>
        <w:gridCol w:w="4280"/>
      </w:tblGrid>
      <w:tr>
        <w:trPr>
          <w:cantSplit/>
          <w:tblHeader/>
        </w:trPr>
        <w:tc>
          <w:tcPr>
            <w:tcW w:type="dxa" w:w="1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 ID</w:t>
            </w:r>
          </w:p>
        </w:tc>
        <w:tc>
          <w:tcPr>
            <w:tcW w:type="dxa" w:w="3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Risk</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Prelim. Rating</w:t>
            </w:r>
          </w:p>
        </w:tc>
        <w:tc>
          <w:tcPr>
            <w:tcW w:type="dxa" w:w="42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Assessment confirmation</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RISK-PRE-01</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Shared identity/API-GW layer compromise affecting all products simultaneously</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no dedicated threat model for shared layer. No API-GW specific alert rules found. Gap G-09.</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RISK-PRE-02</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Phishing → credential compromise or fraudulent payment (near-miss confirmed)</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phishing incident verified. Finance anti-phishing training absent. Gap G-10.</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RISK-PRE-03</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Cloud misconfiguration exposing sensitive data (near-miss confirmed)</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storage bucket misconfiguration verified. No configuration baseline or review cadence documented. Gap G-11.</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RISK-PRE-04</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Stale access rights on hospital-facing admin accounts</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High</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last full access review &gt;12 months ago, verified against IT Operations records. Gap G-04.</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RISK-PRE-05</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Untested IR plan failing under a real event</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plan verified as unrevised since 2024; no test records found; both prior incidents not handled per plan. Gap G-05.</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RISK-PRE-06</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Untested DR — unknown RTO under real failure</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no DR test records found. Backup infrastructure confirmed operational; end-to-end recovery untested. Gap G-06.</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RISK-PRE-07</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Unassessed backup/DR vendor (VaultArchive) breach affecting MediSync data</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VaultArchive assessment records absent. Vendor holds encrypted archives. Gap G-07.</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RISK-PRE-08</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Regulatory non-compliance (DPDP Act / UAE PDPL) in customer/regulator review</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Medium-High</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DPA review incomplete; UAE PDPL DPO assessment not conducted; CERT-In path absent. Gaps G-12, G-13.</w:t>
            </w:r>
          </w:p>
        </w:tc>
      </w:tr>
      <w:tr>
        <w:trPr>
          <w:cantSplit/>
        </w:trPr>
        <w:tc>
          <w:tcPr>
            <w:tcW w:type="dxa" w:w="1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RISK-PRE-09</w:t>
            </w:r>
          </w:p>
        </w:tc>
        <w:tc>
          <w:tcPr>
            <w:tcW w:type="dxa" w:w="3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Social engineering success outside Engineering</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2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awareness training scope limited to Engineering. Sales, Finance and Customer Success not covered. Gap G-10.</w:t>
            </w:r>
          </w:p>
        </w:tc>
      </w:tr>
      <w:tr>
        <w:trPr>
          <w:cantSplit/>
        </w:trPr>
        <w:tc>
          <w:tcPr>
            <w:tcW w:type="dxa" w:w="1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RISK-PRE-10</w:t>
            </w:r>
          </w:p>
        </w:tc>
        <w:tc>
          <w:tcPr>
            <w:tcW w:type="dxa" w:w="3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Loss of enterprise sales from absent certification / documentation</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Medium</w:t>
            </w:r>
          </w:p>
        </w:tc>
        <w:tc>
          <w:tcPr>
            <w:tcW w:type="dxa" w:w="42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 stalled Dubai deal and enterprise questionnaire burden verified by Sales records.</w:t>
            </w:r>
          </w:p>
        </w:tc>
      </w:tr>
    </w:tbl>
    <w:p>
      <w:pPr>
        <w:pStyle w:val="Heading1"/>
        <w:spacing w:after="140" w:before="320"/>
      </w:pPr>
      <w:r>
        <w:rPr>
          <w:rFonts w:ascii="Aptos" w:cs="Aptos" w:eastAsia="Aptos" w:hAnsi="Aptos"/>
          <w:b/>
          <w:bCs/>
          <w:i w:val="false"/>
          <w:iCs w:val="false"/>
          <w:color w:val="000000"/>
          <w:sz w:val="36"/>
          <w:szCs w:val="36"/>
        </w:rPr>
        <w:t xml:space="preserve">9. Remediation Priorities</w:t>
      </w:r>
    </w:p>
    <w:p>
      <w:pPr>
        <w:spacing w:after="140" w:before="0"/>
        <w:jc w:val="left"/>
      </w:pPr>
      <w:r>
        <w:rPr>
          <w:rFonts w:ascii="Aptos" w:cs="Aptos" w:eastAsia="Aptos" w:hAnsi="Aptos"/>
          <w:b w:val="false"/>
          <w:bCs w:val="false"/>
          <w:i w:val="false"/>
          <w:iCs w:val="false"/>
          <w:color w:val="000000"/>
          <w:sz w:val="24"/>
          <w:szCs w:val="24"/>
        </w:rPr>
        <w:t xml:space="preserve">The following sequence is recommended based on the gate structure in ISMS-INI-002. Actions before M-01 are required to close Phase 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400"/>
        <w:gridCol w:w="1300"/>
        <w:gridCol w:w="4300"/>
        <w:gridCol w:w="3080"/>
      </w:tblGrid>
      <w:tr>
        <w:trPr>
          <w:cantSplit/>
          <w:tblHeader/>
        </w:trPr>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Priority window</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Gate</w:t>
            </w:r>
          </w:p>
        </w:tc>
        <w:tc>
          <w:tcPr>
            <w:tcW w:type="dxa" w:w="4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Actions required</w:t>
            </w:r>
          </w:p>
        </w:tc>
        <w:tc>
          <w:tcPr>
            <w:tcW w:type="dxa" w:w="3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Deliverables</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Immediate (Phase 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w:t>
            </w:r>
          </w:p>
        </w:tc>
        <w:tc>
          <w:tcPr>
            <w:tcW w:type="dxa" w:w="4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UAE PDPL DPO assessment. Review all customer DPAs. Document per-contract breach notification SLAs centrally.</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ISMS-INI-010 v1.1 (G-12, G-13, G-18)</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M-02</w:t>
            </w:r>
          </w:p>
        </w:tc>
        <w:tc>
          <w:tcPr>
            <w:tcW w:type="dxa" w:w="4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full policy suite with named owners. CISO sign-off on all policies.</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to LDR-009 (G-08)</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w:t>
            </w:r>
          </w:p>
        </w:tc>
        <w:tc>
          <w:tcPr>
            <w:tcW w:type="dxa" w:w="4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Build asset register (shared layer first). Produce risk methodology, risk register and SoA.</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ISMS-PLN-001, PLN-003, PLN-004, PLN-006 (G-01, G-02, G-03)</w:t>
            </w:r>
          </w:p>
        </w:tc>
      </w:tr>
      <w:tr>
        <w:trPr>
          <w:cantSplit/>
        </w:trPr>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4</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w:t>
            </w:r>
          </w:p>
        </w:tc>
        <w:tc>
          <w:tcPr>
            <w:tcW w:type="dxa" w:w="4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Launch mandatory awareness training for all departments. Finance anti-phishing mandatory.</w:t>
            </w:r>
          </w:p>
        </w:tc>
        <w:tc>
          <w:tcPr>
            <w:tcW w:type="dxa" w:w="3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ISMS-SUP-005, SUP-006 (G-10)</w:t>
            </w:r>
          </w:p>
        </w:tc>
      </w:tr>
      <w:tr>
        <w:trPr>
          <w:cantSplit/>
        </w:trPr>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5</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w:t>
            </w:r>
          </w:p>
        </w:tc>
        <w:tc>
          <w:tcPr>
            <w:tcW w:type="dxa" w:w="4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 full access review. Rewrite IR procedure (all three notification tracks). Execute end-to-end DR test. Assess VaultArchive. Document SOC procedures, cloud config baseline, SDLC, key management, vulnerability scanning cadence, physical controls, retention schedule.</w:t>
            </w:r>
          </w:p>
        </w:tc>
        <w:tc>
          <w:tcPr>
            <w:tcW w:type="dxa" w:w="3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ISMS-OPS-001 through OPS-011 (G-04 through G-20)</w:t>
            </w:r>
          </w:p>
        </w:tc>
      </w:tr>
    </w:tbl>
    <w:p>
      <w:pPr>
        <w:pStyle w:val="Heading1"/>
        <w:spacing w:after="140" w:before="320"/>
      </w:pPr>
      <w:r>
        <w:rPr>
          <w:rFonts w:ascii="Aptos" w:cs="Aptos" w:eastAsia="Aptos" w:hAnsi="Aptos"/>
          <w:b/>
          <w:bCs/>
          <w:i w:val="false"/>
          <w:iCs w:val="false"/>
          <w:color w:val="000000"/>
          <w:sz w:val="36"/>
          <w:szCs w:val="36"/>
        </w:rPr>
        <w:t xml:space="preserve">10. Conclusions</w:t>
      </w:r>
    </w:p>
    <w:p>
      <w:pPr>
        <w:spacing w:after="140" w:before="0"/>
        <w:jc w:val="left"/>
      </w:pPr>
      <w:r>
        <w:rPr>
          <w:rFonts w:ascii="Aptos" w:cs="Aptos" w:eastAsia="Aptos" w:hAnsi="Aptos"/>
          <w:b w:val="false"/>
          <w:bCs w:val="false"/>
          <w:i w:val="false"/>
          <w:iCs w:val="false"/>
          <w:color w:val="000000"/>
          <w:sz w:val="24"/>
          <w:szCs w:val="24"/>
        </w:rPr>
        <w:t xml:space="preserve">MediSync's security posture is that of a technically capable company that has outgrown an informal approach to information security governance. The tools are mostly there — MFA, encryption, EDR, SIEM, branch protection. The documentation, the procedures and the evidence are not.</w:t>
      </w:r>
    </w:p>
    <w:p>
      <w:pPr>
        <w:spacing w:after="140" w:before="0"/>
        <w:jc w:val="left"/>
      </w:pPr>
      <w:r>
        <w:rPr>
          <w:rFonts w:ascii="Aptos" w:cs="Aptos" w:eastAsia="Aptos" w:hAnsi="Aptos"/>
          <w:b w:val="false"/>
          <w:bCs w:val="false"/>
          <w:i w:val="false"/>
          <w:iCs w:val="false"/>
          <w:color w:val="000000"/>
          <w:sz w:val="24"/>
          <w:szCs w:val="24"/>
        </w:rPr>
        <w:t xml:space="preserve">This is a pattern the ISMS is designed to fix. The 27 gaps identified are not unusual for a 430-person company of this age and growth rate. Six of them are Critical and must be treated as gate conditions — they will be the first things a Stage 1 auditor looks for. The eight confirmed control strengths reduce Phase 5 cost significantly — MediSync is formalising and evidencing existing practice more than it is building new controls from scratch.</w:t>
      </w:r>
    </w:p>
    <w:p>
      <w:pPr>
        <w:spacing w:after="140" w:before="0"/>
        <w:jc w:val="left"/>
      </w:pPr>
      <w:r>
        <w:rPr>
          <w:rFonts w:ascii="Aptos" w:cs="Aptos" w:eastAsia="Aptos" w:hAnsi="Aptos"/>
          <w:b w:val="false"/>
          <w:bCs w:val="false"/>
          <w:i w:val="false"/>
          <w:iCs w:val="false"/>
          <w:color w:val="000000"/>
          <w:sz w:val="24"/>
          <w:szCs w:val="24"/>
        </w:rPr>
        <w:t xml:space="preserve">The assessment confirms that the 14-month timeline in ISMS-INI-002 is achievable provided the Critical gaps are addressed in the phases and gates assigned. No finding changes the scope, budget or programme structure as set in the Charter.</w:t>
      </w:r>
    </w:p>
    <w:p>
      <w:pPr>
        <w:pStyle w:val="Heading1"/>
        <w:spacing w:after="140" w:before="320"/>
      </w:pPr>
      <w:r>
        <w:rPr>
          <w:rFonts w:ascii="Aptos" w:cs="Aptos" w:eastAsia="Aptos" w:hAnsi="Aptos"/>
          <w:b/>
          <w:bCs/>
          <w:i w:val="false"/>
          <w:iCs w:val="false"/>
          <w:color w:val="000000"/>
          <w:sz w:val="36"/>
          <w:szCs w:val="36"/>
        </w:rPr>
        <w:t xml:space="preserve">11.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Prepared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Technical findings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23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SOC Manager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Operations and IR findings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23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Cloud Infrastructure</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Infrastructure and BCDR findings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24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25 Mar 2026</w:t>
            </w:r>
          </w:p>
        </w:tc>
      </w:tr>
    </w:tbl>
    <w:p>
      <w:pPr>
        <w:keepNext/>
        <w:spacing w:after="80" w:before="32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200"/>
      </w:pPr>
      <w:r>
        <w:rPr>
          <w:rFonts w:ascii="Aptos" w:cs="Aptos" w:eastAsia="Aptos" w:hAnsi="Aptos"/>
          <w:b w:val="false"/>
          <w:bCs w:val="false"/>
          <w:i/>
          <w:iCs/>
          <w:color w:val="000000"/>
          <w:sz w:val="24"/>
          <w:szCs w:val="24"/>
        </w:rPr>
        <w:t xml:space="preserve">Ananya Rao, Chief Executive Officer and Chair, ISMS Steering Committee, 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ISMS-INI-012  |  Gap Assessment Report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2026-08-24T02:54:14.330Z</dcterms:created>
  <dcterms:modified xsi:type="dcterms:W3CDTF">2026-08-24T02:54:14.343Z</dcterms:modified>
</cp:coreProperties>
</file>

<file path=docProps/custom.xml><?xml version="1.0" encoding="utf-8"?>
<Properties xmlns="http://schemas.openxmlformats.org/officeDocument/2006/custom-properties" xmlns:vt="http://schemas.openxmlformats.org/officeDocument/2006/docPropsVTypes"/>
</file>