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1CDF"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Case Study: ISO/IEC 27001:2022 Implementation for a Multi-Region Healthcare Technology Company</w:t>
      </w:r>
    </w:p>
    <w:p w14:paraId="289E88D4"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Phase 0 Deliverable — Company Design Dossier</w:t>
      </w:r>
    </w:p>
    <w:p w14:paraId="64F4037B" w14:textId="77777777" w:rsidR="00FC31F2" w:rsidRPr="00BB405F" w:rsidRDefault="00FC31F2" w:rsidP="00FC31F2">
      <w:pPr>
        <w:rPr>
          <w:rFonts w:ascii="Times New Roman" w:hAnsi="Times New Roman" w:cs="Times New Roman"/>
          <w:sz w:val="26"/>
          <w:szCs w:val="26"/>
        </w:rPr>
      </w:pPr>
      <w:r w:rsidRPr="00BB405F">
        <w:rPr>
          <w:rFonts w:ascii="Times New Roman" w:hAnsi="Times New Roman" w:cs="Times New Roman"/>
          <w:sz w:val="26"/>
          <w:szCs w:val="26"/>
        </w:rPr>
        <w:t>This entire case study, including the company, its people, its systems, and its vendors, is fictional. It exists purely as a realistic foundation for a portfolio-project simulation of an ISO/IEC 27001:2022 implementation.</w:t>
      </w:r>
    </w:p>
    <w:p w14:paraId="0036770E" w14:textId="77777777" w:rsidR="00FC31F2" w:rsidRPr="00BB405F" w:rsidRDefault="00FC31F2" w:rsidP="00FC31F2">
      <w:pPr>
        <w:rPr>
          <w:rFonts w:ascii="Times New Roman" w:hAnsi="Times New Roman" w:cs="Times New Roman"/>
          <w:sz w:val="26"/>
          <w:szCs w:val="26"/>
        </w:rPr>
      </w:pPr>
      <w:r>
        <w:rPr>
          <w:rFonts w:ascii="Times New Roman" w:hAnsi="Times New Roman" w:cs="Times New Roman"/>
          <w:sz w:val="26"/>
          <w:szCs w:val="26"/>
        </w:rPr>
        <w:pict w14:anchorId="4AB5B81E">
          <v:rect id="_x0000_i1025" style="width:0;height:1.5pt" o:hralign="center" o:hrstd="t" o:hr="t" fillcolor="#a0a0a0" stroked="f"/>
        </w:pict>
      </w:r>
    </w:p>
    <w:p w14:paraId="448200BE"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Document Control</w:t>
      </w:r>
    </w:p>
    <w:tbl>
      <w:tblPr>
        <w:tblStyle w:val="TableGrid"/>
        <w:tblW w:w="0" w:type="auto"/>
        <w:tblInd w:w="-607" w:type="dxa"/>
        <w:tblLook w:val="04A0" w:firstRow="1" w:lastRow="0" w:firstColumn="1" w:lastColumn="0" w:noHBand="0" w:noVBand="1"/>
      </w:tblPr>
      <w:tblGrid>
        <w:gridCol w:w="2729"/>
        <w:gridCol w:w="6287"/>
      </w:tblGrid>
      <w:tr w:rsidR="00FC31F2" w14:paraId="14574622" w14:textId="77777777" w:rsidTr="006314D5">
        <w:tc>
          <w:tcPr>
            <w:tcW w:w="2729" w:type="dxa"/>
          </w:tcPr>
          <w:p w14:paraId="4A635CC1"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Field</w:t>
            </w:r>
          </w:p>
        </w:tc>
        <w:tc>
          <w:tcPr>
            <w:tcW w:w="6287" w:type="dxa"/>
          </w:tcPr>
          <w:p w14:paraId="60EA3745" w14:textId="77777777" w:rsidR="00FC31F2" w:rsidRDefault="00FC31F2" w:rsidP="006314D5">
            <w:pPr>
              <w:tabs>
                <w:tab w:val="left" w:pos="972"/>
              </w:tabs>
              <w:ind w:left="0" w:firstLine="0"/>
              <w:rPr>
                <w:rFonts w:ascii="Times New Roman" w:hAnsi="Times New Roman" w:cs="Times New Roman"/>
                <w:sz w:val="26"/>
                <w:szCs w:val="26"/>
              </w:rPr>
            </w:pPr>
            <w:r>
              <w:rPr>
                <w:rFonts w:ascii="Times New Roman" w:hAnsi="Times New Roman" w:cs="Times New Roman"/>
                <w:sz w:val="26"/>
                <w:szCs w:val="26"/>
              </w:rPr>
              <w:tab/>
            </w:r>
            <w:r w:rsidRPr="00A06A08">
              <w:rPr>
                <w:rFonts w:ascii="Times New Roman" w:hAnsi="Times New Roman" w:cs="Times New Roman"/>
                <w:sz w:val="26"/>
                <w:szCs w:val="26"/>
              </w:rPr>
              <w:t>Value</w:t>
            </w:r>
          </w:p>
        </w:tc>
      </w:tr>
      <w:tr w:rsidR="00FC31F2" w14:paraId="68BBFE2C" w14:textId="77777777" w:rsidTr="006314D5">
        <w:tc>
          <w:tcPr>
            <w:tcW w:w="2729" w:type="dxa"/>
          </w:tcPr>
          <w:p w14:paraId="732A47B0"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Document ID</w:t>
            </w:r>
          </w:p>
        </w:tc>
        <w:tc>
          <w:tcPr>
            <w:tcW w:w="6287" w:type="dxa"/>
          </w:tcPr>
          <w:p w14:paraId="380D13C3"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MST-P0-CDD-v1.0</w:t>
            </w:r>
          </w:p>
        </w:tc>
      </w:tr>
      <w:tr w:rsidR="00FC31F2" w14:paraId="7535D829" w14:textId="77777777" w:rsidTr="006314D5">
        <w:tc>
          <w:tcPr>
            <w:tcW w:w="2729" w:type="dxa"/>
          </w:tcPr>
          <w:p w14:paraId="0F12D220"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Document Title</w:t>
            </w:r>
          </w:p>
        </w:tc>
        <w:tc>
          <w:tcPr>
            <w:tcW w:w="6287" w:type="dxa"/>
          </w:tcPr>
          <w:p w14:paraId="6013DDEE"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Company Design Dossier</w:t>
            </w:r>
          </w:p>
        </w:tc>
      </w:tr>
      <w:tr w:rsidR="00FC31F2" w14:paraId="5951B360" w14:textId="77777777" w:rsidTr="006314D5">
        <w:tc>
          <w:tcPr>
            <w:tcW w:w="2729" w:type="dxa"/>
          </w:tcPr>
          <w:p w14:paraId="2DB2A1E5"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Phase</w:t>
            </w:r>
          </w:p>
        </w:tc>
        <w:tc>
          <w:tcPr>
            <w:tcW w:w="6287" w:type="dxa"/>
          </w:tcPr>
          <w:p w14:paraId="38F9918D"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Phase 0 — Company Design (Foundation)</w:t>
            </w:r>
          </w:p>
        </w:tc>
      </w:tr>
      <w:tr w:rsidR="00FC31F2" w14:paraId="17455288" w14:textId="77777777" w:rsidTr="006314D5">
        <w:tc>
          <w:tcPr>
            <w:tcW w:w="2729" w:type="dxa"/>
          </w:tcPr>
          <w:p w14:paraId="2E5B4BF5"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Classification</w:t>
            </w:r>
          </w:p>
        </w:tc>
        <w:tc>
          <w:tcPr>
            <w:tcW w:w="6287" w:type="dxa"/>
          </w:tcPr>
          <w:p w14:paraId="7F7DC6EC"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Internal</w:t>
            </w:r>
          </w:p>
        </w:tc>
      </w:tr>
      <w:tr w:rsidR="00FC31F2" w14:paraId="552D3305" w14:textId="77777777" w:rsidTr="006314D5">
        <w:tc>
          <w:tcPr>
            <w:tcW w:w="2729" w:type="dxa"/>
          </w:tcPr>
          <w:p w14:paraId="597BFC8D"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Owner</w:t>
            </w:r>
          </w:p>
        </w:tc>
        <w:tc>
          <w:tcPr>
            <w:tcW w:w="6287" w:type="dxa"/>
          </w:tcPr>
          <w:p w14:paraId="0494A290"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GRC &amp; Compliance</w:t>
            </w:r>
          </w:p>
        </w:tc>
      </w:tr>
      <w:tr w:rsidR="00FC31F2" w14:paraId="0A82C32F" w14:textId="77777777" w:rsidTr="006314D5">
        <w:tc>
          <w:tcPr>
            <w:tcW w:w="2729" w:type="dxa"/>
          </w:tcPr>
          <w:p w14:paraId="420B364F"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Status</w:t>
            </w:r>
          </w:p>
        </w:tc>
        <w:tc>
          <w:tcPr>
            <w:tcW w:w="6287" w:type="dxa"/>
          </w:tcPr>
          <w:p w14:paraId="432F5954"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Baseline — referenced by all subsequent phases</w:t>
            </w:r>
          </w:p>
        </w:tc>
      </w:tr>
      <w:tr w:rsidR="00FC31F2" w14:paraId="4346187F" w14:textId="77777777" w:rsidTr="006314D5">
        <w:tc>
          <w:tcPr>
            <w:tcW w:w="2729" w:type="dxa"/>
          </w:tcPr>
          <w:p w14:paraId="5586A97B"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Related Documents</w:t>
            </w:r>
          </w:p>
        </w:tc>
        <w:tc>
          <w:tcPr>
            <w:tcW w:w="6287" w:type="dxa"/>
          </w:tcPr>
          <w:p w14:paraId="2A20B17F"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Master Phase Roadmap (Phase 0–10)</w:t>
            </w:r>
          </w:p>
        </w:tc>
      </w:tr>
    </w:tbl>
    <w:p w14:paraId="7326A54A" w14:textId="77777777" w:rsidR="00FC31F2" w:rsidRDefault="00FC31F2" w:rsidP="00FC31F2">
      <w:pPr>
        <w:rPr>
          <w:rFonts w:ascii="Times New Roman" w:hAnsi="Times New Roman" w:cs="Times New Roman"/>
          <w:sz w:val="26"/>
          <w:szCs w:val="26"/>
        </w:rPr>
      </w:pPr>
    </w:p>
    <w:p w14:paraId="2C9FE9F7" w14:textId="77777777" w:rsidR="00FC31F2" w:rsidRPr="00BB405F" w:rsidRDefault="00FC31F2" w:rsidP="00FC31F2">
      <w:pPr>
        <w:rPr>
          <w:rFonts w:ascii="Times New Roman" w:hAnsi="Times New Roman" w:cs="Times New Roman"/>
          <w:sz w:val="26"/>
          <w:szCs w:val="26"/>
        </w:rPr>
      </w:pPr>
      <w:r>
        <w:rPr>
          <w:rFonts w:ascii="Times New Roman" w:hAnsi="Times New Roman" w:cs="Times New Roman"/>
          <w:sz w:val="26"/>
          <w:szCs w:val="26"/>
        </w:rPr>
        <w:pict w14:anchorId="38653C81">
          <v:rect id="_x0000_i1026" style="width:0;height:1.5pt" o:hralign="center" o:hrstd="t" o:hr="t" fillcolor="#a0a0a0" stroked="f"/>
        </w:pict>
      </w:r>
    </w:p>
    <w:p w14:paraId="0DDF79BB"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1. Executive Summary</w:t>
      </w:r>
    </w:p>
    <w:p w14:paraId="514DBBF8" w14:textId="77777777" w:rsidR="00FC31F2" w:rsidRPr="00BB405F" w:rsidRDefault="00FC31F2" w:rsidP="00FC31F2">
      <w:pPr>
        <w:rPr>
          <w:rFonts w:ascii="Times New Roman" w:hAnsi="Times New Roman" w:cs="Times New Roman"/>
          <w:sz w:val="26"/>
          <w:szCs w:val="26"/>
        </w:rPr>
      </w:pPr>
      <w:proofErr w:type="spellStart"/>
      <w:r w:rsidRPr="00BB405F">
        <w:rPr>
          <w:rFonts w:ascii="Times New Roman" w:hAnsi="Times New Roman" w:cs="Times New Roman"/>
          <w:sz w:val="26"/>
          <w:szCs w:val="26"/>
        </w:rPr>
        <w:t>MediSync</w:t>
      </w:r>
      <w:proofErr w:type="spellEnd"/>
      <w:r w:rsidRPr="00BB405F">
        <w:rPr>
          <w:rFonts w:ascii="Times New Roman" w:hAnsi="Times New Roman" w:cs="Times New Roman"/>
          <w:sz w:val="26"/>
          <w:szCs w:val="26"/>
        </w:rPr>
        <w:t xml:space="preserve"> Technologies </w:t>
      </w:r>
      <w:proofErr w:type="spellStart"/>
      <w:r w:rsidRPr="00BB405F">
        <w:rPr>
          <w:rFonts w:ascii="Times New Roman" w:hAnsi="Times New Roman" w:cs="Times New Roman"/>
          <w:sz w:val="26"/>
          <w:szCs w:val="26"/>
        </w:rPr>
        <w:t>Pvt.</w:t>
      </w:r>
      <w:proofErr w:type="spellEnd"/>
      <w:r w:rsidRPr="00BB405F">
        <w:rPr>
          <w:rFonts w:ascii="Times New Roman" w:hAnsi="Times New Roman" w:cs="Times New Roman"/>
          <w:sz w:val="26"/>
          <w:szCs w:val="26"/>
        </w:rPr>
        <w:t xml:space="preserve"> Ltd. is a healthcare technology company that develops and operates cloud-based software used by hospitals, clinics, diagnostic laboratories, pharmacies, insurance providers, and telemedicine platforms across India and the United Arab Emirates (UAE).</w:t>
      </w:r>
    </w:p>
    <w:p w14:paraId="2E310C69" w14:textId="77777777" w:rsidR="00FC31F2" w:rsidRPr="00BB405F" w:rsidRDefault="00FC31F2" w:rsidP="00FC31F2">
      <w:pPr>
        <w:rPr>
          <w:rFonts w:ascii="Times New Roman" w:hAnsi="Times New Roman" w:cs="Times New Roman"/>
          <w:sz w:val="26"/>
          <w:szCs w:val="26"/>
        </w:rPr>
      </w:pPr>
      <w:r w:rsidRPr="00BB405F">
        <w:rPr>
          <w:rFonts w:ascii="Times New Roman" w:hAnsi="Times New Roman" w:cs="Times New Roman"/>
          <w:sz w:val="26"/>
          <w:szCs w:val="26"/>
        </w:rPr>
        <w:t>The company was founded in 2018 around a single product — a lightweight Hospital Information System for mid-sized Indian hospitals. Over the following five years it expanded into a full healthcare software suite and grew from a handful of pilot hospitals to more than 180 customer organizations across two countries. That growth was not matched by a corresponding maturity in information security governance: policies were written department by department, access was granted ad hoc, and no single team owned a complete picture of the organization's risk.</w:t>
      </w:r>
    </w:p>
    <w:p w14:paraId="2AB5E087" w14:textId="77777777" w:rsidR="00FC31F2" w:rsidRPr="00BB405F" w:rsidRDefault="00FC31F2" w:rsidP="00FC31F2">
      <w:pPr>
        <w:rPr>
          <w:rFonts w:ascii="Times New Roman" w:hAnsi="Times New Roman" w:cs="Times New Roman"/>
          <w:sz w:val="26"/>
          <w:szCs w:val="26"/>
        </w:rPr>
      </w:pPr>
      <w:r w:rsidRPr="00BB405F">
        <w:rPr>
          <w:rFonts w:ascii="Times New Roman" w:hAnsi="Times New Roman" w:cs="Times New Roman"/>
          <w:sz w:val="26"/>
          <w:szCs w:val="26"/>
        </w:rPr>
        <w:t xml:space="preserve">The company now sits at a point where several forces are converging at once. UAE healthcare customers are starting to make ISO/IEC 27001 certification a condition of the vendor contract, not a preference. Indian customers are asking harder questions about how the company meets its obligations under the Digital Personal Data Protection (DPDP) Act, 2023. Cyber insurance renewal has become more expensive and more control-dependent. And two near-miss security incidents in the last eighteen months — a phishing attempt that reached a billing-team inbox, and a misconfigured storage bucket caught during a routine </w:t>
      </w:r>
      <w:r w:rsidRPr="00BB405F">
        <w:rPr>
          <w:rFonts w:ascii="Times New Roman" w:hAnsi="Times New Roman" w:cs="Times New Roman"/>
          <w:sz w:val="26"/>
          <w:szCs w:val="26"/>
        </w:rPr>
        <w:lastRenderedPageBreak/>
        <w:t>review rather than by any monitoring control — have made it clear to the Board that security has been running on goodwill rather than governance.</w:t>
      </w:r>
    </w:p>
    <w:p w14:paraId="1E73605B" w14:textId="77777777" w:rsidR="00FC31F2" w:rsidRPr="00BB405F" w:rsidRDefault="00FC31F2" w:rsidP="00FC31F2">
      <w:pPr>
        <w:rPr>
          <w:rFonts w:ascii="Times New Roman" w:hAnsi="Times New Roman" w:cs="Times New Roman"/>
          <w:sz w:val="26"/>
          <w:szCs w:val="26"/>
        </w:rPr>
      </w:pPr>
      <w:r w:rsidRPr="00BB405F">
        <w:rPr>
          <w:rFonts w:ascii="Times New Roman" w:hAnsi="Times New Roman" w:cs="Times New Roman"/>
          <w:sz w:val="26"/>
          <w:szCs w:val="26"/>
        </w:rPr>
        <w:t xml:space="preserve">In response, the Board of Directors has approved the implementation of an Information Security Management System (ISMS) aligned with ISO/IEC 27001:2022, and has engaged an external information security consulting team to design, implement, audit, and prepare the company for certification. This dossier is the foundation that engagement is built on: it defines who </w:t>
      </w:r>
      <w:proofErr w:type="spellStart"/>
      <w:r w:rsidRPr="00BB405F">
        <w:rPr>
          <w:rFonts w:ascii="Times New Roman" w:hAnsi="Times New Roman" w:cs="Times New Roman"/>
          <w:sz w:val="26"/>
          <w:szCs w:val="26"/>
        </w:rPr>
        <w:t>MediSync</w:t>
      </w:r>
      <w:proofErr w:type="spellEnd"/>
      <w:r w:rsidRPr="00BB405F">
        <w:rPr>
          <w:rFonts w:ascii="Times New Roman" w:hAnsi="Times New Roman" w:cs="Times New Roman"/>
          <w:sz w:val="26"/>
          <w:szCs w:val="26"/>
        </w:rPr>
        <w:t xml:space="preserve"> is, what it runs, what it holds, who it depends on, and what "good" looks like for this organization — so that every document produced in the phases that follow (asset register, risk register, policies, audit evidence, and eventually the certification audit itself) is describing the same company in the same language.</w:t>
      </w:r>
    </w:p>
    <w:p w14:paraId="4B443735" w14:textId="77777777" w:rsidR="00FC31F2" w:rsidRPr="00BB405F" w:rsidRDefault="00FC31F2" w:rsidP="00FC31F2">
      <w:pPr>
        <w:rPr>
          <w:rFonts w:ascii="Times New Roman" w:hAnsi="Times New Roman" w:cs="Times New Roman"/>
          <w:sz w:val="26"/>
          <w:szCs w:val="26"/>
        </w:rPr>
      </w:pPr>
      <w:r>
        <w:rPr>
          <w:rFonts w:ascii="Times New Roman" w:hAnsi="Times New Roman" w:cs="Times New Roman"/>
          <w:sz w:val="26"/>
          <w:szCs w:val="26"/>
        </w:rPr>
        <w:pict w14:anchorId="1ECEE008">
          <v:rect id="_x0000_i1027" style="width:0;height:1.5pt" o:hralign="center" o:hrstd="t" o:hr="t" fillcolor="#a0a0a0" stroked="f"/>
        </w:pict>
      </w:r>
    </w:p>
    <w:p w14:paraId="1306D648"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2. Company Profile</w:t>
      </w:r>
    </w:p>
    <w:tbl>
      <w:tblPr>
        <w:tblStyle w:val="TableGrid"/>
        <w:tblW w:w="0" w:type="auto"/>
        <w:tblInd w:w="-607" w:type="dxa"/>
        <w:tblLook w:val="04A0" w:firstRow="1" w:lastRow="0" w:firstColumn="1" w:lastColumn="0" w:noHBand="0" w:noVBand="1"/>
      </w:tblPr>
      <w:tblGrid>
        <w:gridCol w:w="2445"/>
        <w:gridCol w:w="6571"/>
      </w:tblGrid>
      <w:tr w:rsidR="00FC31F2" w14:paraId="2E3D85DE" w14:textId="77777777" w:rsidTr="006314D5">
        <w:tc>
          <w:tcPr>
            <w:tcW w:w="2445" w:type="dxa"/>
          </w:tcPr>
          <w:p w14:paraId="08573C76" w14:textId="77777777" w:rsidR="00FC31F2" w:rsidRDefault="00FC31F2" w:rsidP="006314D5">
            <w:pPr>
              <w:ind w:left="0" w:firstLine="0"/>
              <w:rPr>
                <w:rFonts w:ascii="Times New Roman" w:hAnsi="Times New Roman" w:cs="Times New Roman"/>
                <w:sz w:val="26"/>
                <w:szCs w:val="26"/>
              </w:rPr>
            </w:pPr>
            <w:r w:rsidRPr="00A06A08">
              <w:rPr>
                <w:rFonts w:ascii="Times New Roman" w:hAnsi="Times New Roman" w:cs="Times New Roman"/>
                <w:sz w:val="26"/>
                <w:szCs w:val="26"/>
              </w:rPr>
              <w:t>Field</w:t>
            </w:r>
          </w:p>
        </w:tc>
        <w:tc>
          <w:tcPr>
            <w:tcW w:w="6571" w:type="dxa"/>
          </w:tcPr>
          <w:p w14:paraId="15B7261B" w14:textId="77777777" w:rsidR="00FC31F2" w:rsidRDefault="00FC31F2" w:rsidP="006314D5">
            <w:pPr>
              <w:tabs>
                <w:tab w:val="left" w:pos="972"/>
              </w:tabs>
              <w:ind w:left="0" w:firstLine="0"/>
              <w:rPr>
                <w:rFonts w:ascii="Times New Roman" w:hAnsi="Times New Roman" w:cs="Times New Roman"/>
                <w:sz w:val="26"/>
                <w:szCs w:val="26"/>
              </w:rPr>
            </w:pPr>
            <w:r>
              <w:rPr>
                <w:rFonts w:ascii="Times New Roman" w:hAnsi="Times New Roman" w:cs="Times New Roman"/>
                <w:sz w:val="26"/>
                <w:szCs w:val="26"/>
              </w:rPr>
              <w:t>Detail</w:t>
            </w:r>
          </w:p>
        </w:tc>
      </w:tr>
      <w:tr w:rsidR="00FC31F2" w14:paraId="6C6A01F3" w14:textId="77777777" w:rsidTr="006314D5">
        <w:tc>
          <w:tcPr>
            <w:tcW w:w="2445" w:type="dxa"/>
          </w:tcPr>
          <w:p w14:paraId="09456800"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Legal name</w:t>
            </w:r>
          </w:p>
        </w:tc>
        <w:tc>
          <w:tcPr>
            <w:tcW w:w="6571" w:type="dxa"/>
          </w:tcPr>
          <w:p w14:paraId="46B36D04" w14:textId="77777777" w:rsidR="00FC31F2" w:rsidRDefault="00FC31F2" w:rsidP="006314D5">
            <w:pPr>
              <w:ind w:left="0" w:firstLine="0"/>
              <w:rPr>
                <w:rFonts w:ascii="Times New Roman" w:hAnsi="Times New Roman" w:cs="Times New Roman"/>
                <w:sz w:val="26"/>
                <w:szCs w:val="26"/>
              </w:rPr>
            </w:pPr>
            <w:proofErr w:type="spellStart"/>
            <w:r w:rsidRPr="00330086">
              <w:rPr>
                <w:rFonts w:ascii="Times New Roman" w:hAnsi="Times New Roman" w:cs="Times New Roman"/>
                <w:sz w:val="26"/>
                <w:szCs w:val="26"/>
              </w:rPr>
              <w:t>MediSync</w:t>
            </w:r>
            <w:proofErr w:type="spellEnd"/>
            <w:r w:rsidRPr="00330086">
              <w:rPr>
                <w:rFonts w:ascii="Times New Roman" w:hAnsi="Times New Roman" w:cs="Times New Roman"/>
                <w:sz w:val="26"/>
                <w:szCs w:val="26"/>
              </w:rPr>
              <w:t xml:space="preserve"> Technologies </w:t>
            </w:r>
            <w:proofErr w:type="spellStart"/>
            <w:r w:rsidRPr="00330086">
              <w:rPr>
                <w:rFonts w:ascii="Times New Roman" w:hAnsi="Times New Roman" w:cs="Times New Roman"/>
                <w:sz w:val="26"/>
                <w:szCs w:val="26"/>
              </w:rPr>
              <w:t>Pvt.</w:t>
            </w:r>
            <w:proofErr w:type="spellEnd"/>
            <w:r w:rsidRPr="00330086">
              <w:rPr>
                <w:rFonts w:ascii="Times New Roman" w:hAnsi="Times New Roman" w:cs="Times New Roman"/>
                <w:sz w:val="26"/>
                <w:szCs w:val="26"/>
              </w:rPr>
              <w:t xml:space="preserve"> Ltd.</w:t>
            </w:r>
          </w:p>
        </w:tc>
      </w:tr>
      <w:tr w:rsidR="00FC31F2" w14:paraId="2C87D516" w14:textId="77777777" w:rsidTr="006314D5">
        <w:tc>
          <w:tcPr>
            <w:tcW w:w="2445" w:type="dxa"/>
          </w:tcPr>
          <w:p w14:paraId="39D9BCC4"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Entity type</w:t>
            </w:r>
          </w:p>
        </w:tc>
        <w:tc>
          <w:tcPr>
            <w:tcW w:w="6571" w:type="dxa"/>
          </w:tcPr>
          <w:p w14:paraId="712B7DD9"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Private Limited Company (India), with a UAE branch office</w:t>
            </w:r>
          </w:p>
        </w:tc>
      </w:tr>
      <w:tr w:rsidR="00FC31F2" w14:paraId="167F6A30" w14:textId="77777777" w:rsidTr="006314D5">
        <w:tc>
          <w:tcPr>
            <w:tcW w:w="2445" w:type="dxa"/>
          </w:tcPr>
          <w:p w14:paraId="72066C27"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Founded</w:t>
            </w:r>
          </w:p>
        </w:tc>
        <w:tc>
          <w:tcPr>
            <w:tcW w:w="6571" w:type="dxa"/>
          </w:tcPr>
          <w:p w14:paraId="7B701916"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2018</w:t>
            </w:r>
          </w:p>
        </w:tc>
      </w:tr>
      <w:tr w:rsidR="00FC31F2" w14:paraId="38DB33CD" w14:textId="77777777" w:rsidTr="006314D5">
        <w:tc>
          <w:tcPr>
            <w:tcW w:w="2445" w:type="dxa"/>
          </w:tcPr>
          <w:p w14:paraId="31197D65"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Headquarters</w:t>
            </w:r>
          </w:p>
        </w:tc>
        <w:tc>
          <w:tcPr>
            <w:tcW w:w="6571" w:type="dxa"/>
          </w:tcPr>
          <w:p w14:paraId="39EC49E2"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 xml:space="preserve">Pune (Product Engineering) </w:t>
            </w:r>
            <w:r>
              <w:rPr>
                <w:rFonts w:ascii="Times New Roman" w:hAnsi="Times New Roman" w:cs="Times New Roman"/>
                <w:sz w:val="26"/>
                <w:szCs w:val="26"/>
              </w:rPr>
              <w:br/>
            </w:r>
            <w:r w:rsidRPr="00330086">
              <w:rPr>
                <w:rFonts w:ascii="Times New Roman" w:hAnsi="Times New Roman" w:cs="Times New Roman"/>
                <w:sz w:val="26"/>
                <w:szCs w:val="26"/>
              </w:rPr>
              <w:t xml:space="preserve">Hyderabad (Customer Success &amp; Support) </w:t>
            </w:r>
            <w:r>
              <w:rPr>
                <w:rFonts w:ascii="Times New Roman" w:hAnsi="Times New Roman" w:cs="Times New Roman"/>
                <w:sz w:val="26"/>
                <w:szCs w:val="26"/>
              </w:rPr>
              <w:br/>
            </w:r>
            <w:r w:rsidRPr="00330086">
              <w:rPr>
                <w:rFonts w:ascii="Times New Roman" w:hAnsi="Times New Roman" w:cs="Times New Roman"/>
                <w:sz w:val="26"/>
                <w:szCs w:val="26"/>
              </w:rPr>
              <w:t>Dubai (Middle East Sales &amp; Customer Operations)</w:t>
            </w:r>
          </w:p>
        </w:tc>
      </w:tr>
      <w:tr w:rsidR="00FC31F2" w14:paraId="2E567B92" w14:textId="77777777" w:rsidTr="006314D5">
        <w:tc>
          <w:tcPr>
            <w:tcW w:w="2445" w:type="dxa"/>
          </w:tcPr>
          <w:p w14:paraId="4C5F0B00"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Industry</w:t>
            </w:r>
          </w:p>
        </w:tc>
        <w:tc>
          <w:tcPr>
            <w:tcW w:w="6571" w:type="dxa"/>
          </w:tcPr>
          <w:p w14:paraId="7535DC6F"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Healthcare Technology (HealthTech) / Software-as-a-Service</w:t>
            </w:r>
          </w:p>
        </w:tc>
      </w:tr>
      <w:tr w:rsidR="00FC31F2" w14:paraId="449E0CB8" w14:textId="77777777" w:rsidTr="006314D5">
        <w:tc>
          <w:tcPr>
            <w:tcW w:w="2445" w:type="dxa"/>
          </w:tcPr>
          <w:p w14:paraId="46CF6396"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Employees</w:t>
            </w:r>
          </w:p>
        </w:tc>
        <w:tc>
          <w:tcPr>
            <w:tcW w:w="6571" w:type="dxa"/>
          </w:tcPr>
          <w:p w14:paraId="1D2C3947"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~430</w:t>
            </w:r>
          </w:p>
        </w:tc>
      </w:tr>
      <w:tr w:rsidR="00FC31F2" w14:paraId="1382423E" w14:textId="77777777" w:rsidTr="006314D5">
        <w:tc>
          <w:tcPr>
            <w:tcW w:w="2445" w:type="dxa"/>
          </w:tcPr>
          <w:p w14:paraId="7E5AC3F5"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Customers</w:t>
            </w:r>
          </w:p>
        </w:tc>
        <w:tc>
          <w:tcPr>
            <w:tcW w:w="6571" w:type="dxa"/>
          </w:tcPr>
          <w:p w14:paraId="7B1C9B64" w14:textId="77777777" w:rsidR="00FC31F2"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180+ healthcare organizations</w:t>
            </w:r>
          </w:p>
        </w:tc>
      </w:tr>
      <w:tr w:rsidR="00FC31F2" w14:paraId="79228600" w14:textId="77777777" w:rsidTr="006314D5">
        <w:tc>
          <w:tcPr>
            <w:tcW w:w="2445" w:type="dxa"/>
          </w:tcPr>
          <w:p w14:paraId="07340231" w14:textId="77777777" w:rsidR="00FC31F2" w:rsidRPr="00330086"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Countries served</w:t>
            </w:r>
          </w:p>
        </w:tc>
        <w:tc>
          <w:tcPr>
            <w:tcW w:w="6571" w:type="dxa"/>
          </w:tcPr>
          <w:p w14:paraId="7144D815" w14:textId="77777777" w:rsidR="00FC31F2" w:rsidRPr="00330086"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India, United Arab Emirates</w:t>
            </w:r>
          </w:p>
        </w:tc>
      </w:tr>
      <w:tr w:rsidR="00FC31F2" w14:paraId="2735620B" w14:textId="77777777" w:rsidTr="006314D5">
        <w:tc>
          <w:tcPr>
            <w:tcW w:w="2445" w:type="dxa"/>
          </w:tcPr>
          <w:p w14:paraId="3C7BAF40" w14:textId="77777777" w:rsidR="00FC31F2" w:rsidRPr="00330086"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ISMS scope statement (draft)</w:t>
            </w:r>
          </w:p>
        </w:tc>
        <w:tc>
          <w:tcPr>
            <w:tcW w:w="6571" w:type="dxa"/>
          </w:tcPr>
          <w:p w14:paraId="6FFF10D3" w14:textId="77777777" w:rsidR="00FC31F2" w:rsidRPr="00330086" w:rsidRDefault="00FC31F2" w:rsidP="006314D5">
            <w:pPr>
              <w:ind w:left="0" w:firstLine="0"/>
              <w:rPr>
                <w:rFonts w:ascii="Times New Roman" w:hAnsi="Times New Roman" w:cs="Times New Roman"/>
                <w:sz w:val="26"/>
                <w:szCs w:val="26"/>
              </w:rPr>
            </w:pPr>
            <w:r w:rsidRPr="00330086">
              <w:rPr>
                <w:rFonts w:ascii="Times New Roman" w:hAnsi="Times New Roman" w:cs="Times New Roman"/>
                <w:sz w:val="26"/>
                <w:szCs w:val="26"/>
              </w:rPr>
              <w:t xml:space="preserve">"The information security management system covering the design, development, hosting, and support of </w:t>
            </w:r>
            <w:proofErr w:type="spellStart"/>
            <w:r w:rsidRPr="00330086">
              <w:rPr>
                <w:rFonts w:ascii="Times New Roman" w:hAnsi="Times New Roman" w:cs="Times New Roman"/>
                <w:sz w:val="26"/>
                <w:szCs w:val="26"/>
              </w:rPr>
              <w:t>MediSync's</w:t>
            </w:r>
            <w:proofErr w:type="spellEnd"/>
            <w:r w:rsidRPr="00330086">
              <w:rPr>
                <w:rFonts w:ascii="Times New Roman" w:hAnsi="Times New Roman" w:cs="Times New Roman"/>
                <w:sz w:val="26"/>
                <w:szCs w:val="26"/>
              </w:rPr>
              <w:t xml:space="preserve"> healthcare SaaS platforms, and the corporate functions that support them, across the Bengaluru, Pune, Hyderabad, and Dubai offices." </w:t>
            </w:r>
            <w:r w:rsidRPr="00330086">
              <w:rPr>
                <w:rFonts w:ascii="Times New Roman" w:hAnsi="Times New Roman" w:cs="Times New Roman"/>
                <w:i/>
                <w:iCs/>
                <w:sz w:val="26"/>
                <w:szCs w:val="26"/>
              </w:rPr>
              <w:t>(to be formally ratified in Phase 1 — ISMS Scope Document)</w:t>
            </w:r>
          </w:p>
        </w:tc>
      </w:tr>
    </w:tbl>
    <w:p w14:paraId="45FF0F58" w14:textId="77777777" w:rsidR="00FC31F2" w:rsidRPr="00BB405F" w:rsidRDefault="00FC31F2" w:rsidP="00FC31F2">
      <w:pPr>
        <w:rPr>
          <w:rFonts w:ascii="Times New Roman" w:hAnsi="Times New Roman" w:cs="Times New Roman"/>
          <w:sz w:val="26"/>
          <w:szCs w:val="26"/>
        </w:rPr>
      </w:pPr>
    </w:p>
    <w:p w14:paraId="64FC8A85"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Mission</w:t>
      </w:r>
    </w:p>
    <w:p w14:paraId="475AEB34" w14:textId="77777777" w:rsidR="00FC31F2" w:rsidRPr="00BB405F" w:rsidRDefault="00FC31F2" w:rsidP="00FC31F2">
      <w:pPr>
        <w:rPr>
          <w:rFonts w:ascii="Times New Roman" w:hAnsi="Times New Roman" w:cs="Times New Roman"/>
          <w:sz w:val="26"/>
          <w:szCs w:val="26"/>
        </w:rPr>
      </w:pPr>
      <w:r w:rsidRPr="00BB405F">
        <w:rPr>
          <w:rFonts w:ascii="Times New Roman" w:hAnsi="Times New Roman" w:cs="Times New Roman"/>
          <w:b/>
          <w:bCs/>
          <w:sz w:val="26"/>
          <w:szCs w:val="26"/>
        </w:rPr>
        <w:t>Give healthcare providers software they can run their operations on without having to become security or IT experts themselves.</w:t>
      </w:r>
    </w:p>
    <w:p w14:paraId="05FE1065" w14:textId="77777777" w:rsidR="00FC31F2" w:rsidRPr="00BB405F" w:rsidRDefault="00FC31F2" w:rsidP="00FC31F2">
      <w:pPr>
        <w:rPr>
          <w:rFonts w:ascii="Times New Roman" w:hAnsi="Times New Roman" w:cs="Times New Roman"/>
          <w:sz w:val="26"/>
          <w:szCs w:val="26"/>
        </w:rPr>
      </w:pPr>
      <w:r>
        <w:rPr>
          <w:rFonts w:ascii="Times New Roman" w:hAnsi="Times New Roman" w:cs="Times New Roman"/>
          <w:sz w:val="26"/>
          <w:szCs w:val="26"/>
        </w:rPr>
        <w:pict w14:anchorId="01754B1B">
          <v:rect id="_x0000_i1028" style="width:0;height:1.5pt" o:hralign="center" o:hrstd="t" o:hr="t" fillcolor="#a0a0a0" stroked="f"/>
        </w:pict>
      </w:r>
    </w:p>
    <w:p w14:paraId="7EC7B8BF"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Company timeline (fictional, for narrative grounding)</w:t>
      </w:r>
    </w:p>
    <w:p w14:paraId="4F077138"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2018</w:t>
      </w:r>
      <w:r w:rsidRPr="00BB405F">
        <w:rPr>
          <w:rFonts w:ascii="Times New Roman" w:hAnsi="Times New Roman" w:cs="Times New Roman"/>
          <w:sz w:val="26"/>
          <w:szCs w:val="26"/>
        </w:rPr>
        <w:t xml:space="preserve"> — Founded in Bengaluru; first product is a lightweight HIS for a pilot group of five hospitals.</w:t>
      </w:r>
    </w:p>
    <w:p w14:paraId="6B8F58AB"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2019–2020</w:t>
      </w:r>
      <w:r w:rsidRPr="00BB405F">
        <w:rPr>
          <w:rFonts w:ascii="Times New Roman" w:hAnsi="Times New Roman" w:cs="Times New Roman"/>
          <w:sz w:val="26"/>
          <w:szCs w:val="26"/>
        </w:rPr>
        <w:t xml:space="preserve"> — EHR module launched; customer base grows to ~40 hospitals and clinics, all in India.</w:t>
      </w:r>
    </w:p>
    <w:p w14:paraId="75498477"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lastRenderedPageBreak/>
        <w:t>2021</w:t>
      </w:r>
      <w:r w:rsidRPr="00BB405F">
        <w:rPr>
          <w:rFonts w:ascii="Times New Roman" w:hAnsi="Times New Roman" w:cs="Times New Roman"/>
          <w:sz w:val="26"/>
          <w:szCs w:val="26"/>
        </w:rPr>
        <w:t xml:space="preserve"> — Telemedicine platform launched in response to pandemic-driven demand; Pune engineering centre opens.</w:t>
      </w:r>
    </w:p>
    <w:p w14:paraId="206BBC3F"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2022</w:t>
      </w:r>
      <w:r w:rsidRPr="00BB405F">
        <w:rPr>
          <w:rFonts w:ascii="Times New Roman" w:hAnsi="Times New Roman" w:cs="Times New Roman"/>
          <w:sz w:val="26"/>
          <w:szCs w:val="26"/>
        </w:rPr>
        <w:t xml:space="preserve"> — First UAE customer signed (a Dubai diagnostics chain); Dubai office opens to support Middle East sales.</w:t>
      </w:r>
    </w:p>
    <w:p w14:paraId="60218FD5"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2023</w:t>
      </w:r>
      <w:r w:rsidRPr="00BB405F">
        <w:rPr>
          <w:rFonts w:ascii="Times New Roman" w:hAnsi="Times New Roman" w:cs="Times New Roman"/>
          <w:sz w:val="26"/>
          <w:szCs w:val="26"/>
        </w:rPr>
        <w:t xml:space="preserve"> — Insurance Claims Platform and Healthcare API layer launched; Hyderabad support centre opens.</w:t>
      </w:r>
    </w:p>
    <w:p w14:paraId="0297BB25"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2024</w:t>
      </w:r>
      <w:r w:rsidRPr="00BB405F">
        <w:rPr>
          <w:rFonts w:ascii="Times New Roman" w:hAnsi="Times New Roman" w:cs="Times New Roman"/>
          <w:sz w:val="26"/>
          <w:szCs w:val="26"/>
        </w:rPr>
        <w:t xml:space="preserve"> — Customer base crosses 150 organizations; first formal customer security questionnaire escalations reach the Board.</w:t>
      </w:r>
    </w:p>
    <w:p w14:paraId="11F328FA"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2025</w:t>
      </w:r>
      <w:r w:rsidRPr="00BB405F">
        <w:rPr>
          <w:rFonts w:ascii="Times New Roman" w:hAnsi="Times New Roman" w:cs="Times New Roman"/>
          <w:sz w:val="26"/>
          <w:szCs w:val="26"/>
        </w:rPr>
        <w:t xml:space="preserve"> — Two UAE prospects make ISO/IEC 27001 certification a contractual precondition; Board approves ISMS implementation.</w:t>
      </w:r>
    </w:p>
    <w:p w14:paraId="3877AA95" w14:textId="77777777" w:rsidR="00FC31F2" w:rsidRPr="00BB405F" w:rsidRDefault="00FC31F2" w:rsidP="00FC31F2">
      <w:pPr>
        <w:numPr>
          <w:ilvl w:val="0"/>
          <w:numId w:val="1"/>
        </w:numPr>
        <w:rPr>
          <w:rFonts w:ascii="Times New Roman" w:hAnsi="Times New Roman" w:cs="Times New Roman"/>
          <w:sz w:val="26"/>
          <w:szCs w:val="26"/>
        </w:rPr>
      </w:pPr>
      <w:r w:rsidRPr="00BB405F">
        <w:rPr>
          <w:rFonts w:ascii="Times New Roman" w:hAnsi="Times New Roman" w:cs="Times New Roman"/>
          <w:b/>
          <w:bCs/>
          <w:sz w:val="26"/>
          <w:szCs w:val="26"/>
        </w:rPr>
        <w:t>2026</w:t>
      </w:r>
      <w:r w:rsidRPr="00BB405F">
        <w:rPr>
          <w:rFonts w:ascii="Times New Roman" w:hAnsi="Times New Roman" w:cs="Times New Roman"/>
          <w:sz w:val="26"/>
          <w:szCs w:val="26"/>
        </w:rPr>
        <w:t xml:space="preserve"> — ISMS design and implementation engagement begins </w:t>
      </w:r>
      <w:r w:rsidRPr="00BB405F">
        <w:rPr>
          <w:rFonts w:ascii="Times New Roman" w:hAnsi="Times New Roman" w:cs="Times New Roman"/>
          <w:i/>
          <w:iCs/>
          <w:sz w:val="26"/>
          <w:szCs w:val="26"/>
        </w:rPr>
        <w:t>(this case study)</w:t>
      </w:r>
      <w:r w:rsidRPr="00BB405F">
        <w:rPr>
          <w:rFonts w:ascii="Times New Roman" w:hAnsi="Times New Roman" w:cs="Times New Roman"/>
          <w:sz w:val="26"/>
          <w:szCs w:val="26"/>
        </w:rPr>
        <w:t>.</w:t>
      </w:r>
    </w:p>
    <w:p w14:paraId="61D7E39A" w14:textId="77777777" w:rsidR="00FC31F2" w:rsidRPr="00BB405F" w:rsidRDefault="00FC31F2" w:rsidP="00FC31F2">
      <w:pPr>
        <w:rPr>
          <w:rFonts w:ascii="Times New Roman" w:hAnsi="Times New Roman" w:cs="Times New Roman"/>
          <w:sz w:val="26"/>
          <w:szCs w:val="26"/>
        </w:rPr>
      </w:pPr>
      <w:r>
        <w:rPr>
          <w:rFonts w:ascii="Times New Roman" w:hAnsi="Times New Roman" w:cs="Times New Roman"/>
          <w:sz w:val="26"/>
          <w:szCs w:val="26"/>
        </w:rPr>
        <w:pict w14:anchorId="0BCF0721">
          <v:rect id="_x0000_i1029" style="width:0;height:1.5pt" o:hralign="center" o:hrstd="t" o:hr="t" fillcolor="#a0a0a0" stroked="f"/>
        </w:pict>
      </w:r>
    </w:p>
    <w:p w14:paraId="3243841B"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3. Business Model</w:t>
      </w:r>
    </w:p>
    <w:p w14:paraId="632FCEA2" w14:textId="77777777" w:rsidR="00FC31F2" w:rsidRPr="00BB405F" w:rsidRDefault="00FC31F2" w:rsidP="00FC31F2">
      <w:pPr>
        <w:rPr>
          <w:rFonts w:ascii="Times New Roman" w:hAnsi="Times New Roman" w:cs="Times New Roman"/>
          <w:sz w:val="26"/>
          <w:szCs w:val="26"/>
        </w:rPr>
      </w:pPr>
      <w:proofErr w:type="spellStart"/>
      <w:r w:rsidRPr="00BB405F">
        <w:rPr>
          <w:rFonts w:ascii="Times New Roman" w:hAnsi="Times New Roman" w:cs="Times New Roman"/>
          <w:sz w:val="26"/>
          <w:szCs w:val="26"/>
        </w:rPr>
        <w:t>MediSync</w:t>
      </w:r>
      <w:proofErr w:type="spellEnd"/>
      <w:r w:rsidRPr="00BB405F">
        <w:rPr>
          <w:rFonts w:ascii="Times New Roman" w:hAnsi="Times New Roman" w:cs="Times New Roman"/>
          <w:sz w:val="26"/>
          <w:szCs w:val="26"/>
        </w:rPr>
        <w:t xml:space="preserve"> operates as a Software-as-a-Service (SaaS) provider. It does not deliver clinical care itself — it builds and operates the digital infrastructure that healthcare organizations use to deliver care, bill for it, and coordinate with labs, pharmacies, and insurers.</w:t>
      </w:r>
    </w:p>
    <w:p w14:paraId="3C16F9FD"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Revenue model:</w:t>
      </w:r>
    </w:p>
    <w:p w14:paraId="58813048" w14:textId="77777777" w:rsidR="00FC31F2" w:rsidRPr="00BB405F" w:rsidRDefault="00FC31F2" w:rsidP="00FC31F2">
      <w:pPr>
        <w:numPr>
          <w:ilvl w:val="0"/>
          <w:numId w:val="2"/>
        </w:numPr>
        <w:rPr>
          <w:rFonts w:ascii="Times New Roman" w:hAnsi="Times New Roman" w:cs="Times New Roman"/>
          <w:sz w:val="26"/>
          <w:szCs w:val="26"/>
        </w:rPr>
      </w:pPr>
      <w:r w:rsidRPr="00BB405F">
        <w:rPr>
          <w:rFonts w:ascii="Times New Roman" w:hAnsi="Times New Roman" w:cs="Times New Roman"/>
          <w:sz w:val="26"/>
          <w:szCs w:val="26"/>
        </w:rPr>
        <w:t>Annual subscription licensing, tiered by facility size (Clinic, Mid-size Hospital, Multi-specialty/Enterprise Hospital Group).</w:t>
      </w:r>
    </w:p>
    <w:p w14:paraId="6F261E08" w14:textId="77777777" w:rsidR="00FC31F2" w:rsidRPr="00BB405F" w:rsidRDefault="00FC31F2" w:rsidP="00FC31F2">
      <w:pPr>
        <w:numPr>
          <w:ilvl w:val="0"/>
          <w:numId w:val="2"/>
        </w:numPr>
        <w:rPr>
          <w:rFonts w:ascii="Times New Roman" w:hAnsi="Times New Roman" w:cs="Times New Roman"/>
          <w:sz w:val="26"/>
          <w:szCs w:val="26"/>
        </w:rPr>
      </w:pPr>
      <w:r w:rsidRPr="00BB405F">
        <w:rPr>
          <w:rFonts w:ascii="Times New Roman" w:hAnsi="Times New Roman" w:cs="Times New Roman"/>
          <w:sz w:val="26"/>
          <w:szCs w:val="26"/>
        </w:rPr>
        <w:t>Implementation and onboarding fees for initial setup and data migration.</w:t>
      </w:r>
    </w:p>
    <w:p w14:paraId="245B1DFB" w14:textId="77777777" w:rsidR="00FC31F2" w:rsidRPr="00BB405F" w:rsidRDefault="00FC31F2" w:rsidP="00FC31F2">
      <w:pPr>
        <w:numPr>
          <w:ilvl w:val="0"/>
          <w:numId w:val="2"/>
        </w:numPr>
        <w:rPr>
          <w:rFonts w:ascii="Times New Roman" w:hAnsi="Times New Roman" w:cs="Times New Roman"/>
          <w:sz w:val="26"/>
          <w:szCs w:val="26"/>
        </w:rPr>
      </w:pPr>
      <w:r w:rsidRPr="00BB405F">
        <w:rPr>
          <w:rFonts w:ascii="Times New Roman" w:hAnsi="Times New Roman" w:cs="Times New Roman"/>
          <w:sz w:val="26"/>
          <w:szCs w:val="26"/>
        </w:rPr>
        <w:t>Optional add-on modules (Telemedicine, Insurance Claims, API access) priced separately from the core HIS/EHR bundle.</w:t>
      </w:r>
    </w:p>
    <w:p w14:paraId="5699F070" w14:textId="77777777" w:rsidR="00FC31F2" w:rsidRPr="00BB405F" w:rsidRDefault="00FC31F2" w:rsidP="00FC31F2">
      <w:pPr>
        <w:numPr>
          <w:ilvl w:val="0"/>
          <w:numId w:val="2"/>
        </w:numPr>
        <w:rPr>
          <w:rFonts w:ascii="Times New Roman" w:hAnsi="Times New Roman" w:cs="Times New Roman"/>
          <w:sz w:val="26"/>
          <w:szCs w:val="26"/>
        </w:rPr>
      </w:pPr>
      <w:r w:rsidRPr="00BB405F">
        <w:rPr>
          <w:rFonts w:ascii="Times New Roman" w:hAnsi="Times New Roman" w:cs="Times New Roman"/>
          <w:sz w:val="26"/>
          <w:szCs w:val="26"/>
        </w:rPr>
        <w:t>Support and managed-hosting fees bundled into the subscription for most customers; a small number of large enterprise customers run dedicated (single-tenant) environments at a premium.</w:t>
      </w:r>
    </w:p>
    <w:p w14:paraId="6AA9D2C0" w14:textId="77777777" w:rsidR="00FC31F2" w:rsidRPr="00BB405F" w:rsidRDefault="00FC31F2" w:rsidP="00FC31F2">
      <w:pPr>
        <w:rPr>
          <w:rFonts w:ascii="Times New Roman" w:hAnsi="Times New Roman" w:cs="Times New Roman"/>
          <w:b/>
          <w:bCs/>
          <w:sz w:val="26"/>
          <w:szCs w:val="26"/>
        </w:rPr>
      </w:pPr>
      <w:r w:rsidRPr="00BB405F">
        <w:rPr>
          <w:rFonts w:ascii="Times New Roman" w:hAnsi="Times New Roman" w:cs="Times New Roman"/>
          <w:b/>
          <w:bCs/>
          <w:sz w:val="26"/>
          <w:szCs w:val="26"/>
        </w:rPr>
        <w:t>Deployment model:</w:t>
      </w:r>
    </w:p>
    <w:p w14:paraId="1006F655" w14:textId="77777777" w:rsidR="00FC31F2" w:rsidRPr="00BB405F" w:rsidRDefault="00FC31F2" w:rsidP="00FC31F2">
      <w:pPr>
        <w:numPr>
          <w:ilvl w:val="0"/>
          <w:numId w:val="3"/>
        </w:numPr>
        <w:rPr>
          <w:rFonts w:ascii="Times New Roman" w:hAnsi="Times New Roman" w:cs="Times New Roman"/>
          <w:sz w:val="26"/>
          <w:szCs w:val="26"/>
        </w:rPr>
      </w:pPr>
      <w:r w:rsidRPr="00BB405F">
        <w:rPr>
          <w:rFonts w:ascii="Times New Roman" w:hAnsi="Times New Roman" w:cs="Times New Roman"/>
          <w:sz w:val="26"/>
          <w:szCs w:val="26"/>
        </w:rPr>
        <w:t>The majority of customers run on a shared, multi-tenant cloud platform, logically segmented by customer.</w:t>
      </w:r>
    </w:p>
    <w:p w14:paraId="7624C18A" w14:textId="77777777" w:rsidR="00FC31F2" w:rsidRPr="00BB405F" w:rsidRDefault="00FC31F2" w:rsidP="00FC31F2">
      <w:pPr>
        <w:numPr>
          <w:ilvl w:val="0"/>
          <w:numId w:val="3"/>
        </w:numPr>
        <w:rPr>
          <w:rFonts w:ascii="Times New Roman" w:hAnsi="Times New Roman" w:cs="Times New Roman"/>
          <w:sz w:val="26"/>
          <w:szCs w:val="26"/>
        </w:rPr>
      </w:pPr>
      <w:r w:rsidRPr="00BB405F">
        <w:rPr>
          <w:rFonts w:ascii="Times New Roman" w:hAnsi="Times New Roman" w:cs="Times New Roman"/>
          <w:sz w:val="26"/>
          <w:szCs w:val="26"/>
        </w:rPr>
        <w:t>A small number of large hospital groups (currently 6 customers) run on dedicated single-tenant infrastructure, generally driven by contractual data-residency or isolation requirements.</w:t>
      </w:r>
    </w:p>
    <w:p w14:paraId="7B21C0D8" w14:textId="77777777" w:rsidR="00FC31F2" w:rsidRPr="00BB405F" w:rsidRDefault="00FC31F2" w:rsidP="00FC31F2">
      <w:pPr>
        <w:numPr>
          <w:ilvl w:val="0"/>
          <w:numId w:val="3"/>
        </w:numPr>
        <w:rPr>
          <w:rFonts w:ascii="Times New Roman" w:hAnsi="Times New Roman" w:cs="Times New Roman"/>
          <w:sz w:val="26"/>
          <w:szCs w:val="26"/>
        </w:rPr>
      </w:pPr>
      <w:r w:rsidRPr="00BB405F">
        <w:rPr>
          <w:rFonts w:ascii="Times New Roman" w:hAnsi="Times New Roman" w:cs="Times New Roman"/>
          <w:sz w:val="26"/>
          <w:szCs w:val="26"/>
        </w:rPr>
        <w:t xml:space="preserve">All customer data belonging to Indian entities is hosted in India; all customer data belonging to UAE entities is hosted in a UAE-region environment, </w:t>
      </w:r>
      <w:r w:rsidRPr="00BB405F">
        <w:rPr>
          <w:rFonts w:ascii="Times New Roman" w:hAnsi="Times New Roman" w:cs="Times New Roman"/>
          <w:sz w:val="26"/>
          <w:szCs w:val="26"/>
        </w:rPr>
        <w:lastRenderedPageBreak/>
        <w:t>reflecting each country's data-residency expectations for healthcare and personal data.</w:t>
      </w:r>
    </w:p>
    <w:p w14:paraId="58F00618" w14:textId="77777777" w:rsidR="00FC31F2" w:rsidRDefault="00FC31F2" w:rsidP="00FC31F2">
      <w:pPr>
        <w:rPr>
          <w:rFonts w:ascii="Times New Roman" w:hAnsi="Times New Roman" w:cs="Times New Roman"/>
          <w:sz w:val="26"/>
          <w:szCs w:val="26"/>
        </w:rPr>
      </w:pPr>
    </w:p>
    <w:p w14:paraId="0B26A8A7" w14:textId="77777777" w:rsidR="00FC31F2" w:rsidRPr="008E51CA" w:rsidRDefault="00FC31F2" w:rsidP="00FC31F2">
      <w:pPr>
        <w:rPr>
          <w:rFonts w:ascii="Times New Roman" w:hAnsi="Times New Roman" w:cs="Times New Roman"/>
          <w:sz w:val="32"/>
          <w:szCs w:val="32"/>
        </w:rPr>
      </w:pPr>
      <w:r w:rsidRPr="008E51CA">
        <w:rPr>
          <w:rFonts w:ascii="Times New Roman" w:hAnsi="Times New Roman" w:cs="Times New Roman"/>
          <w:sz w:val="32"/>
          <w:szCs w:val="32"/>
        </w:rPr>
        <w:t>4. Products and Services</w:t>
      </w:r>
    </w:p>
    <w:tbl>
      <w:tblPr>
        <w:tblStyle w:val="TableGrid"/>
        <w:tblW w:w="0" w:type="auto"/>
        <w:tblInd w:w="-607" w:type="dxa"/>
        <w:tblLook w:val="04A0" w:firstRow="1" w:lastRow="0" w:firstColumn="1" w:lastColumn="0" w:noHBand="0" w:noVBand="1"/>
      </w:tblPr>
      <w:tblGrid>
        <w:gridCol w:w="1736"/>
        <w:gridCol w:w="2977"/>
        <w:gridCol w:w="2140"/>
        <w:gridCol w:w="2487"/>
      </w:tblGrid>
      <w:tr w:rsidR="00FC31F2" w14:paraId="095DD74A" w14:textId="77777777" w:rsidTr="006314D5">
        <w:tc>
          <w:tcPr>
            <w:tcW w:w="1736" w:type="dxa"/>
          </w:tcPr>
          <w:p w14:paraId="6520D1A7"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PRODUCT</w:t>
            </w:r>
          </w:p>
        </w:tc>
        <w:tc>
          <w:tcPr>
            <w:tcW w:w="2977" w:type="dxa"/>
          </w:tcPr>
          <w:p w14:paraId="3717DC58"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PURPOSE</w:t>
            </w:r>
          </w:p>
        </w:tc>
        <w:tc>
          <w:tcPr>
            <w:tcW w:w="2140" w:type="dxa"/>
          </w:tcPr>
          <w:p w14:paraId="296CEC4B"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PRIMARY USERS</w:t>
            </w:r>
          </w:p>
        </w:tc>
        <w:tc>
          <w:tcPr>
            <w:tcW w:w="2487" w:type="dxa"/>
          </w:tcPr>
          <w:p w14:paraId="52B1C84B"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KEY DATA HANDLED</w:t>
            </w:r>
          </w:p>
        </w:tc>
      </w:tr>
      <w:tr w:rsidR="00FC31F2" w14:paraId="31746F4E" w14:textId="77777777" w:rsidTr="006314D5">
        <w:tc>
          <w:tcPr>
            <w:tcW w:w="1736" w:type="dxa"/>
          </w:tcPr>
          <w:p w14:paraId="7018F6E4"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HIS-CORE — Hospital Information System</w:t>
            </w:r>
          </w:p>
        </w:tc>
        <w:tc>
          <w:tcPr>
            <w:tcW w:w="2977" w:type="dxa"/>
          </w:tcPr>
          <w:p w14:paraId="08C46DD6"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Patient registration, admissions/discharge, bed management, billing, clinical workflows</w:t>
            </w:r>
          </w:p>
        </w:tc>
        <w:tc>
          <w:tcPr>
            <w:tcW w:w="2140" w:type="dxa"/>
          </w:tcPr>
          <w:p w14:paraId="72B65885"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Hospital administrative &amp; clinical staff</w:t>
            </w:r>
          </w:p>
        </w:tc>
        <w:tc>
          <w:tcPr>
            <w:tcW w:w="2487" w:type="dxa"/>
          </w:tcPr>
          <w:p w14:paraId="586EE5D8"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Patient demographics, admission records, billing data</w:t>
            </w:r>
          </w:p>
        </w:tc>
      </w:tr>
      <w:tr w:rsidR="00FC31F2" w14:paraId="661E5FA8" w14:textId="77777777" w:rsidTr="006314D5">
        <w:tc>
          <w:tcPr>
            <w:tcW w:w="1736" w:type="dxa"/>
          </w:tcPr>
          <w:p w14:paraId="5ADEC306"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EHR-CORE — Electronic Health Records</w:t>
            </w:r>
          </w:p>
        </w:tc>
        <w:tc>
          <w:tcPr>
            <w:tcW w:w="2977" w:type="dxa"/>
          </w:tcPr>
          <w:p w14:paraId="2EECA628"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Central store of patient medical history, diagnoses, imaging and lab reports</w:t>
            </w:r>
          </w:p>
        </w:tc>
        <w:tc>
          <w:tcPr>
            <w:tcW w:w="2140" w:type="dxa"/>
          </w:tcPr>
          <w:p w14:paraId="47AF125D"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Physicians, nurses, clinical staff</w:t>
            </w:r>
          </w:p>
        </w:tc>
        <w:tc>
          <w:tcPr>
            <w:tcW w:w="2487" w:type="dxa"/>
          </w:tcPr>
          <w:p w14:paraId="22605EB7"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Full clinical record (PHI)</w:t>
            </w:r>
          </w:p>
        </w:tc>
      </w:tr>
      <w:tr w:rsidR="00FC31F2" w14:paraId="654C49BA" w14:textId="77777777" w:rsidTr="006314D5">
        <w:tc>
          <w:tcPr>
            <w:tcW w:w="1736" w:type="dxa"/>
          </w:tcPr>
          <w:p w14:paraId="36488D51"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TELE-PLT — Telemedicine Platform</w:t>
            </w:r>
          </w:p>
        </w:tc>
        <w:tc>
          <w:tcPr>
            <w:tcW w:w="2977" w:type="dxa"/>
          </w:tcPr>
          <w:p w14:paraId="18623BBD"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Video consultations, e-prescriptions, consultation notes</w:t>
            </w:r>
          </w:p>
        </w:tc>
        <w:tc>
          <w:tcPr>
            <w:tcW w:w="2140" w:type="dxa"/>
          </w:tcPr>
          <w:p w14:paraId="0B9A76F0"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Patients, physicians</w:t>
            </w:r>
          </w:p>
        </w:tc>
        <w:tc>
          <w:tcPr>
            <w:tcW w:w="2487" w:type="dxa"/>
          </w:tcPr>
          <w:p w14:paraId="3FD18E48"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Consultation recordings/notes, prescriptions</w:t>
            </w:r>
          </w:p>
        </w:tc>
      </w:tr>
      <w:tr w:rsidR="00FC31F2" w14:paraId="2DB9CC6F" w14:textId="77777777" w:rsidTr="006314D5">
        <w:tc>
          <w:tcPr>
            <w:tcW w:w="1736" w:type="dxa"/>
          </w:tcPr>
          <w:p w14:paraId="3AB56227"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PAT-PORTAL — Patient Portal</w:t>
            </w:r>
          </w:p>
        </w:tc>
        <w:tc>
          <w:tcPr>
            <w:tcW w:w="2977" w:type="dxa"/>
          </w:tcPr>
          <w:p w14:paraId="5B833620"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Appointment booking, lab report access, prescription download, bill payment</w:t>
            </w:r>
          </w:p>
        </w:tc>
        <w:tc>
          <w:tcPr>
            <w:tcW w:w="2140" w:type="dxa"/>
          </w:tcPr>
          <w:p w14:paraId="53C06029"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Patients</w:t>
            </w:r>
          </w:p>
        </w:tc>
        <w:tc>
          <w:tcPr>
            <w:tcW w:w="2487" w:type="dxa"/>
          </w:tcPr>
          <w:p w14:paraId="1635EC60"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PII, appointment data, payment references</w:t>
            </w:r>
          </w:p>
        </w:tc>
      </w:tr>
      <w:tr w:rsidR="00FC31F2" w14:paraId="247B24B8" w14:textId="77777777" w:rsidTr="006314D5">
        <w:tc>
          <w:tcPr>
            <w:tcW w:w="1736" w:type="dxa"/>
          </w:tcPr>
          <w:p w14:paraId="4BE48295"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LAB-INT — Laboratory Integration Gateway</w:t>
            </w:r>
          </w:p>
        </w:tc>
        <w:tc>
          <w:tcPr>
            <w:tcW w:w="2977" w:type="dxa"/>
          </w:tcPr>
          <w:p w14:paraId="18727A2E"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Automated test ordering and result delivery between hospitals and diagnostic labs</w:t>
            </w:r>
          </w:p>
        </w:tc>
        <w:tc>
          <w:tcPr>
            <w:tcW w:w="2140" w:type="dxa"/>
          </w:tcPr>
          <w:p w14:paraId="7AC5E756"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Lab staff, clinicians</w:t>
            </w:r>
          </w:p>
        </w:tc>
        <w:tc>
          <w:tcPr>
            <w:tcW w:w="2487" w:type="dxa"/>
          </w:tcPr>
          <w:p w14:paraId="1548CA07"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Diagnostic orders and results</w:t>
            </w:r>
          </w:p>
        </w:tc>
      </w:tr>
      <w:tr w:rsidR="00FC31F2" w14:paraId="231D8858" w14:textId="77777777" w:rsidTr="006314D5">
        <w:tc>
          <w:tcPr>
            <w:tcW w:w="1736" w:type="dxa"/>
          </w:tcPr>
          <w:p w14:paraId="233C66D6"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PHARM-INT — Pharmacy Integration Gateway</w:t>
            </w:r>
          </w:p>
        </w:tc>
        <w:tc>
          <w:tcPr>
            <w:tcW w:w="2977" w:type="dxa"/>
          </w:tcPr>
          <w:p w14:paraId="5F41D7DD"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Digital prescriptions, dispensing, inventory, billing</w:t>
            </w:r>
          </w:p>
        </w:tc>
        <w:tc>
          <w:tcPr>
            <w:tcW w:w="2140" w:type="dxa"/>
          </w:tcPr>
          <w:p w14:paraId="7C0314FE"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Pharmacy staff</w:t>
            </w:r>
          </w:p>
        </w:tc>
        <w:tc>
          <w:tcPr>
            <w:tcW w:w="2487" w:type="dxa"/>
          </w:tcPr>
          <w:p w14:paraId="1D496111"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Prescription data, inventory records</w:t>
            </w:r>
          </w:p>
        </w:tc>
      </w:tr>
      <w:tr w:rsidR="00FC31F2" w14:paraId="4605C504" w14:textId="77777777" w:rsidTr="006314D5">
        <w:tc>
          <w:tcPr>
            <w:tcW w:w="1736" w:type="dxa"/>
          </w:tcPr>
          <w:p w14:paraId="3F04502A"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CLAIMS-PLT — Insurance Claims Platform</w:t>
            </w:r>
          </w:p>
        </w:tc>
        <w:tc>
          <w:tcPr>
            <w:tcW w:w="2977" w:type="dxa"/>
          </w:tcPr>
          <w:p w14:paraId="23843DF1"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Secure exchange of medical and billing records with insurers for claims processing</w:t>
            </w:r>
          </w:p>
        </w:tc>
        <w:tc>
          <w:tcPr>
            <w:tcW w:w="2140" w:type="dxa"/>
          </w:tcPr>
          <w:p w14:paraId="2349027F"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Billing staff, insurance partners</w:t>
            </w:r>
          </w:p>
        </w:tc>
        <w:tc>
          <w:tcPr>
            <w:tcW w:w="2487" w:type="dxa"/>
          </w:tcPr>
          <w:p w14:paraId="42F1819A"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Claims data, PHI extracts, billing data</w:t>
            </w:r>
          </w:p>
        </w:tc>
      </w:tr>
      <w:tr w:rsidR="00FC31F2" w14:paraId="08802D4B" w14:textId="77777777" w:rsidTr="006314D5">
        <w:tc>
          <w:tcPr>
            <w:tcW w:w="1736" w:type="dxa"/>
          </w:tcPr>
          <w:p w14:paraId="6663FCA6"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API-GW — Healthcare API Gateway</w:t>
            </w:r>
          </w:p>
        </w:tc>
        <w:tc>
          <w:tcPr>
            <w:tcW w:w="2977" w:type="dxa"/>
          </w:tcPr>
          <w:p w14:paraId="24E0501C"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Interoperability layer exposing controlled APIs to external healthcare systems and partners</w:t>
            </w:r>
          </w:p>
        </w:tc>
        <w:tc>
          <w:tcPr>
            <w:tcW w:w="2140" w:type="dxa"/>
          </w:tcPr>
          <w:p w14:paraId="4C6E19EA"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External integrators, partner systems</w:t>
            </w:r>
          </w:p>
        </w:tc>
        <w:tc>
          <w:tcPr>
            <w:tcW w:w="2487" w:type="dxa"/>
          </w:tcPr>
          <w:p w14:paraId="36E4F462" w14:textId="77777777" w:rsidR="00FC31F2" w:rsidRPr="000C3920"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Varies by API scope; PHI in most clinical APIs</w:t>
            </w:r>
          </w:p>
        </w:tc>
      </w:tr>
    </w:tbl>
    <w:p w14:paraId="385659FB" w14:textId="77777777" w:rsidR="00FC31F2" w:rsidRPr="000C3920" w:rsidRDefault="00FC31F2" w:rsidP="00FC31F2">
      <w:pPr>
        <w:rPr>
          <w:rFonts w:ascii="Times New Roman" w:hAnsi="Times New Roman" w:cs="Times New Roman"/>
          <w:sz w:val="26"/>
          <w:szCs w:val="26"/>
        </w:rPr>
      </w:pPr>
      <w:r w:rsidRPr="000C3920">
        <w:rPr>
          <w:rFonts w:ascii="Times New Roman" w:hAnsi="Times New Roman" w:cs="Times New Roman"/>
          <w:sz w:val="26"/>
          <w:szCs w:val="26"/>
        </w:rPr>
        <w:t>All eight products share common underlying platform services: identity and access management, the API gateway, the central data layer, logging/monitoring, and backup — which is one reason a single, organization-wide ISMS (rather than a product-by-product approach) is the right shape for this company.</w:t>
      </w:r>
    </w:p>
    <w:p w14:paraId="63C6D3D0" w14:textId="77777777" w:rsidR="00FC31F2" w:rsidRPr="000C3920" w:rsidRDefault="00FC31F2" w:rsidP="00FC31F2">
      <w:pPr>
        <w:rPr>
          <w:rFonts w:ascii="Times New Roman" w:hAnsi="Times New Roman" w:cs="Times New Roman"/>
          <w:sz w:val="26"/>
          <w:szCs w:val="26"/>
        </w:rPr>
      </w:pPr>
    </w:p>
    <w:p w14:paraId="5DB8C666" w14:textId="77777777" w:rsidR="00FC31F2" w:rsidRPr="000C3920" w:rsidRDefault="00FC31F2" w:rsidP="00FC31F2">
      <w:pPr>
        <w:rPr>
          <w:rFonts w:ascii="Times New Roman" w:hAnsi="Times New Roman" w:cs="Times New Roman"/>
          <w:b/>
          <w:bCs/>
          <w:sz w:val="26"/>
          <w:szCs w:val="26"/>
        </w:rPr>
      </w:pPr>
      <w:r w:rsidRPr="000C3920">
        <w:rPr>
          <w:rFonts w:ascii="Times New Roman" w:hAnsi="Times New Roman" w:cs="Times New Roman"/>
          <w:b/>
          <w:bCs/>
          <w:sz w:val="26"/>
          <w:szCs w:val="26"/>
        </w:rPr>
        <w:t>5. Customer Base &amp; Segmentation</w:t>
      </w:r>
    </w:p>
    <w:tbl>
      <w:tblPr>
        <w:tblStyle w:val="TableGrid"/>
        <w:tblW w:w="0" w:type="auto"/>
        <w:tblInd w:w="-607" w:type="dxa"/>
        <w:tblLook w:val="04A0" w:firstRow="1" w:lastRow="0" w:firstColumn="1" w:lastColumn="0" w:noHBand="0" w:noVBand="1"/>
      </w:tblPr>
      <w:tblGrid>
        <w:gridCol w:w="2162"/>
        <w:gridCol w:w="2976"/>
        <w:gridCol w:w="1393"/>
        <w:gridCol w:w="2926"/>
      </w:tblGrid>
      <w:tr w:rsidR="00FC31F2" w14:paraId="378DE4E5" w14:textId="77777777" w:rsidTr="006314D5">
        <w:tc>
          <w:tcPr>
            <w:tcW w:w="2162" w:type="dxa"/>
          </w:tcPr>
          <w:p w14:paraId="14A03037"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lastRenderedPageBreak/>
              <w:t>SEGMENT</w:t>
            </w:r>
          </w:p>
        </w:tc>
        <w:tc>
          <w:tcPr>
            <w:tcW w:w="2976" w:type="dxa"/>
          </w:tcPr>
          <w:p w14:paraId="60667CCE"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DESCRIPTION</w:t>
            </w:r>
          </w:p>
        </w:tc>
        <w:tc>
          <w:tcPr>
            <w:tcW w:w="1393" w:type="dxa"/>
          </w:tcPr>
          <w:p w14:paraId="56CEC7F9"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APPROX COUNT</w:t>
            </w:r>
          </w:p>
        </w:tc>
        <w:tc>
          <w:tcPr>
            <w:tcW w:w="2926" w:type="dxa"/>
          </w:tcPr>
          <w:p w14:paraId="55DA6CD4"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TYPICAL CONTRACT TERMS</w:t>
            </w:r>
          </w:p>
        </w:tc>
      </w:tr>
      <w:tr w:rsidR="00FC31F2" w14:paraId="39CF2AF5" w14:textId="77777777" w:rsidTr="006314D5">
        <w:tc>
          <w:tcPr>
            <w:tcW w:w="2162" w:type="dxa"/>
          </w:tcPr>
          <w:p w14:paraId="599303E6"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Clinics</w:t>
            </w:r>
          </w:p>
        </w:tc>
        <w:tc>
          <w:tcPr>
            <w:tcW w:w="2976" w:type="dxa"/>
          </w:tcPr>
          <w:p w14:paraId="78097F2B"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Small, single-location practices</w:t>
            </w:r>
          </w:p>
        </w:tc>
        <w:tc>
          <w:tcPr>
            <w:tcW w:w="1393" w:type="dxa"/>
          </w:tcPr>
          <w:p w14:paraId="1F60950D"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~95</w:t>
            </w:r>
          </w:p>
        </w:tc>
        <w:tc>
          <w:tcPr>
            <w:tcW w:w="2926" w:type="dxa"/>
          </w:tcPr>
          <w:p w14:paraId="5742D416"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Standard subscription, shared multi-tenant hosting, standard SLA (99.5%)</w:t>
            </w:r>
          </w:p>
        </w:tc>
      </w:tr>
      <w:tr w:rsidR="00FC31F2" w14:paraId="46A2152E" w14:textId="77777777" w:rsidTr="006314D5">
        <w:tc>
          <w:tcPr>
            <w:tcW w:w="2162" w:type="dxa"/>
          </w:tcPr>
          <w:p w14:paraId="5BAFC01C"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Mid-size hospitals</w:t>
            </w:r>
          </w:p>
        </w:tc>
        <w:tc>
          <w:tcPr>
            <w:tcW w:w="2976" w:type="dxa"/>
          </w:tcPr>
          <w:p w14:paraId="0069DA7A"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Single or few-location hospitals, 50–300 beds</w:t>
            </w:r>
          </w:p>
        </w:tc>
        <w:tc>
          <w:tcPr>
            <w:tcW w:w="1393" w:type="dxa"/>
          </w:tcPr>
          <w:p w14:paraId="77EF27CC"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~65</w:t>
            </w:r>
          </w:p>
        </w:tc>
        <w:tc>
          <w:tcPr>
            <w:tcW w:w="2926" w:type="dxa"/>
          </w:tcPr>
          <w:p w14:paraId="2CD6C721"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Standard subscription, shared or dedicated hosting by request, enhanced SLA (99.9%)</w:t>
            </w:r>
          </w:p>
        </w:tc>
      </w:tr>
      <w:tr w:rsidR="00FC31F2" w14:paraId="697D0754" w14:textId="77777777" w:rsidTr="006314D5">
        <w:tc>
          <w:tcPr>
            <w:tcW w:w="2162" w:type="dxa"/>
          </w:tcPr>
          <w:p w14:paraId="53135788"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Multi-speciality / enterprise hospital groups</w:t>
            </w:r>
          </w:p>
        </w:tc>
        <w:tc>
          <w:tcPr>
            <w:tcW w:w="2976" w:type="dxa"/>
          </w:tcPr>
          <w:p w14:paraId="2811E3BC"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Large hospital chains, 300+ beds or multi-site</w:t>
            </w:r>
          </w:p>
        </w:tc>
        <w:tc>
          <w:tcPr>
            <w:tcW w:w="1393" w:type="dxa"/>
          </w:tcPr>
          <w:p w14:paraId="515A6947"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~14</w:t>
            </w:r>
          </w:p>
        </w:tc>
        <w:tc>
          <w:tcPr>
            <w:tcW w:w="2926" w:type="dxa"/>
          </w:tcPr>
          <w:p w14:paraId="1485BBA9"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Custom contract, typically dedicated hosting, custom SLA and security addenda</w:t>
            </w:r>
          </w:p>
        </w:tc>
      </w:tr>
      <w:tr w:rsidR="00FC31F2" w14:paraId="48CD1170" w14:textId="77777777" w:rsidTr="006314D5">
        <w:tc>
          <w:tcPr>
            <w:tcW w:w="2162" w:type="dxa"/>
          </w:tcPr>
          <w:p w14:paraId="7C8EFF8C"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Diagnostic &amp; pharmacy chains</w:t>
            </w:r>
          </w:p>
        </w:tc>
        <w:tc>
          <w:tcPr>
            <w:tcW w:w="2976" w:type="dxa"/>
          </w:tcPr>
          <w:p w14:paraId="14EE9C7E"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Labs and pharmacy networks integrating via LAB-INT/PHARM-INT</w:t>
            </w:r>
          </w:p>
        </w:tc>
        <w:tc>
          <w:tcPr>
            <w:tcW w:w="1393" w:type="dxa"/>
          </w:tcPr>
          <w:p w14:paraId="20F6405A"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~6</w:t>
            </w:r>
          </w:p>
        </w:tc>
        <w:tc>
          <w:tcPr>
            <w:tcW w:w="2926" w:type="dxa"/>
          </w:tcPr>
          <w:p w14:paraId="220F877A" w14:textId="77777777" w:rsidR="00FC31F2" w:rsidRDefault="00FC31F2" w:rsidP="006314D5">
            <w:pPr>
              <w:ind w:left="0" w:firstLine="0"/>
              <w:rPr>
                <w:rFonts w:ascii="Times New Roman" w:hAnsi="Times New Roman" w:cs="Times New Roman"/>
                <w:sz w:val="26"/>
                <w:szCs w:val="26"/>
              </w:rPr>
            </w:pPr>
            <w:r w:rsidRPr="000C3920">
              <w:rPr>
                <w:rFonts w:ascii="Times New Roman" w:hAnsi="Times New Roman" w:cs="Times New Roman"/>
                <w:sz w:val="26"/>
                <w:szCs w:val="26"/>
              </w:rPr>
              <w:t>Integration-focused contract, API-level SLA</w:t>
            </w:r>
          </w:p>
        </w:tc>
      </w:tr>
    </w:tbl>
    <w:p w14:paraId="7E22BF6A" w14:textId="77777777" w:rsidR="00FC31F2" w:rsidRDefault="00FC31F2" w:rsidP="00FC31F2">
      <w:pPr>
        <w:rPr>
          <w:rFonts w:ascii="Times New Roman" w:hAnsi="Times New Roman" w:cs="Times New Roman"/>
          <w:sz w:val="26"/>
          <w:szCs w:val="26"/>
        </w:rPr>
      </w:pPr>
    </w:p>
    <w:p w14:paraId="16163B86"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t>UAE customers are concentrated in the mid-size and enterprise segments and, as a group, are the primary source of the current ISO 27001 certification requirement. Enterprise customers in both countries increasingly attach security questionnaires and, in a growing number of cases, a right-to-audit clause to their contracts.</w:t>
      </w:r>
    </w:p>
    <w:p w14:paraId="6DF63A73"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205138EF">
          <v:rect id="_x0000_i1030" style="width:0;height:1.5pt" o:hralign="center" o:hrstd="t" o:hr="t" fillcolor="#a0a0a0" stroked="f"/>
        </w:pict>
      </w:r>
    </w:p>
    <w:p w14:paraId="1A2D4584"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6. Why the Organization Needs ISO 27001</w:t>
      </w:r>
    </w:p>
    <w:p w14:paraId="55D0969E"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t>Over the past year, several operational and security gaps have surfaced:</w:t>
      </w:r>
    </w:p>
    <w:p w14:paraId="3E2F180B"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Information security policies exist but were written independently by different departments, so wording, scope, and even definitions of "sensitive data" are inconsistent. </w:t>
      </w:r>
    </w:p>
    <w:p w14:paraId="2FBA465F"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User access reviews happen, but irregularly and without a documented cadence — the last full review of hospital-facing admin accounts was informal and undocumented. </w:t>
      </w:r>
    </w:p>
    <w:p w14:paraId="182A8554"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There is no single, authoritative inventory of information assets; engineering, IT operations, and product teams each hold partial lists. </w:t>
      </w:r>
    </w:p>
    <w:p w14:paraId="3249A0B0"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Risk assessments have been done at the project level (e.g., before launching a new feature) but never at the organizational level. </w:t>
      </w:r>
    </w:p>
    <w:p w14:paraId="4DA64A1E"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Third-party vendor security reviews are inconsistent — some vendors were assessed thoroughly at onboarding, others were never formally assessed at all. </w:t>
      </w:r>
    </w:p>
    <w:p w14:paraId="7F7633FE"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Incident response is reactive: there is a process on paper, but it has not been tested, and the phishing incident and the storage misconfiguration were both </w:t>
      </w:r>
      <w:r w:rsidRPr="00D131F1">
        <w:rPr>
          <w:rFonts w:ascii="Times New Roman" w:hAnsi="Times New Roman" w:cs="Times New Roman"/>
          <w:sz w:val="26"/>
          <w:szCs w:val="26"/>
        </w:rPr>
        <w:lastRenderedPageBreak/>
        <w:t xml:space="preserve">handled by the engineering team improvising rather than following a documented playbook. </w:t>
      </w:r>
    </w:p>
    <w:p w14:paraId="74B581F8"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Security awareness training exists for engineering staff but has not been extended organization-wide. </w:t>
      </w:r>
    </w:p>
    <w:p w14:paraId="7247FA1B"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Different customers impose different contractual security requirements, and the company currently has no consistent way to demonstrate compliance across all of them at once. </w:t>
      </w:r>
    </w:p>
    <w:p w14:paraId="4E52D71E"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UAE prospects are now asking for ISO/IEC 27001 certification as a named requirement in RFPs. </w:t>
      </w:r>
    </w:p>
    <w:p w14:paraId="5B1376BC" w14:textId="77777777" w:rsidR="00FC31F2" w:rsidRPr="00D131F1" w:rsidRDefault="00FC31F2" w:rsidP="00FC31F2">
      <w:pPr>
        <w:numPr>
          <w:ilvl w:val="0"/>
          <w:numId w:val="4"/>
        </w:numPr>
        <w:rPr>
          <w:rFonts w:ascii="Times New Roman" w:hAnsi="Times New Roman" w:cs="Times New Roman"/>
          <w:sz w:val="26"/>
          <w:szCs w:val="26"/>
        </w:rPr>
      </w:pPr>
      <w:r w:rsidRPr="00D131F1">
        <w:rPr>
          <w:rFonts w:ascii="Times New Roman" w:hAnsi="Times New Roman" w:cs="Times New Roman"/>
          <w:sz w:val="26"/>
          <w:szCs w:val="26"/>
        </w:rPr>
        <w:t xml:space="preserve">Indian customers are asking, with increasing specificity, how </w:t>
      </w:r>
      <w:proofErr w:type="spellStart"/>
      <w:r w:rsidRPr="00D131F1">
        <w:rPr>
          <w:rFonts w:ascii="Times New Roman" w:hAnsi="Times New Roman" w:cs="Times New Roman"/>
          <w:sz w:val="26"/>
          <w:szCs w:val="26"/>
        </w:rPr>
        <w:t>MediSync</w:t>
      </w:r>
      <w:proofErr w:type="spellEnd"/>
      <w:r w:rsidRPr="00D131F1">
        <w:rPr>
          <w:rFonts w:ascii="Times New Roman" w:hAnsi="Times New Roman" w:cs="Times New Roman"/>
          <w:sz w:val="26"/>
          <w:szCs w:val="26"/>
        </w:rPr>
        <w:t xml:space="preserve"> meets its DPDP Act obligations as a Data Fiduciary handling their patients' personal data. </w:t>
      </w:r>
    </w:p>
    <w:p w14:paraId="14BEE629"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t>None of these gaps, individually, is unusual for a fast-growing 430-person company. Together, they are exactly the pattern an ISMS is designed to fix — not by inventing new practices from scratch, but by giving the practices that already exist a common structure, a single owner, and a way to prove they're working.</w:t>
      </w:r>
    </w:p>
    <w:p w14:paraId="7A9080E4"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6701F3CA">
          <v:rect id="_x0000_i1031" style="width:0;height:1.5pt" o:hralign="center" o:hrstd="t" o:hr="t" fillcolor="#a0a0a0" stroked="f"/>
        </w:pict>
      </w:r>
    </w:p>
    <w:p w14:paraId="14ADAE68"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7. Business Drivers</w:t>
      </w:r>
    </w:p>
    <w:p w14:paraId="66087DC2"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Protect sensitive healthcare information (patient records are the company's core asset and its core liability). </w:t>
      </w:r>
    </w:p>
    <w:p w14:paraId="6ECD5B3B"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Win and retain UAE contracts that now require ISO 27001 certification. </w:t>
      </w:r>
    </w:p>
    <w:p w14:paraId="5731EBE1"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Demonstrate DPDP Act alignment to Indian customers. </w:t>
      </w:r>
    </w:p>
    <w:p w14:paraId="313303E9"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Reduce cyber insurance premiums through demonstrable control maturity. </w:t>
      </w:r>
    </w:p>
    <w:p w14:paraId="0D29CE13"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Standardize security practice across departments that have grown independently. </w:t>
      </w:r>
    </w:p>
    <w:p w14:paraId="17D36CDF"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Improve incident response maturity following the two recent near-misses. </w:t>
      </w:r>
    </w:p>
    <w:p w14:paraId="250462CE" w14:textId="77777777" w:rsidR="00FC31F2" w:rsidRPr="00D131F1" w:rsidRDefault="00FC31F2" w:rsidP="00FC31F2">
      <w:pPr>
        <w:numPr>
          <w:ilvl w:val="0"/>
          <w:numId w:val="5"/>
        </w:numPr>
        <w:rPr>
          <w:rFonts w:ascii="Times New Roman" w:hAnsi="Times New Roman" w:cs="Times New Roman"/>
          <w:sz w:val="26"/>
          <w:szCs w:val="26"/>
        </w:rPr>
      </w:pPr>
      <w:r w:rsidRPr="00D131F1">
        <w:rPr>
          <w:rFonts w:ascii="Times New Roman" w:hAnsi="Times New Roman" w:cs="Times New Roman"/>
          <w:sz w:val="26"/>
          <w:szCs w:val="26"/>
        </w:rPr>
        <w:t xml:space="preserve">Build a governance structure (a named ISMS owner, a management review cadence) where previously there was none. </w:t>
      </w:r>
    </w:p>
    <w:p w14:paraId="344F50BA"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50F26F1A">
          <v:rect id="_x0000_i1032" style="width:0;height:1.5pt" o:hralign="center" o:hrstd="t" o:hr="t" fillcolor="#a0a0a0" stroked="f"/>
        </w:pict>
      </w:r>
    </w:p>
    <w:p w14:paraId="61D8CBE1"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8. Regulatory Landscape</w:t>
      </w:r>
    </w:p>
    <w:p w14:paraId="55126E8C" w14:textId="77777777" w:rsidR="00FC31F2" w:rsidRPr="00D131F1" w:rsidRDefault="00FC31F2" w:rsidP="00FC31F2">
      <w:pPr>
        <w:rPr>
          <w:rFonts w:ascii="Times New Roman" w:hAnsi="Times New Roman" w:cs="Times New Roman"/>
          <w:sz w:val="26"/>
          <w:szCs w:val="26"/>
        </w:rPr>
      </w:pPr>
      <w:proofErr w:type="spellStart"/>
      <w:r w:rsidRPr="00D131F1">
        <w:rPr>
          <w:rFonts w:ascii="Times New Roman" w:hAnsi="Times New Roman" w:cs="Times New Roman"/>
          <w:sz w:val="26"/>
          <w:szCs w:val="26"/>
        </w:rPr>
        <w:t>MediSync</w:t>
      </w:r>
      <w:proofErr w:type="spellEnd"/>
      <w:r w:rsidRPr="00D131F1">
        <w:rPr>
          <w:rFonts w:ascii="Times New Roman" w:hAnsi="Times New Roman" w:cs="Times New Roman"/>
          <w:sz w:val="26"/>
          <w:szCs w:val="26"/>
        </w:rPr>
        <w:t xml:space="preserve"> operates across two jurisdictions and handles some of the most sensitive personal data categories that exist, so the ISMS has to satisfy more than the ISO standard alone.</w:t>
      </w:r>
    </w:p>
    <w:p w14:paraId="3F27DBB5"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8.1 ISO/IEC 27001:2022</w:t>
      </w:r>
    </w:p>
    <w:p w14:paraId="77248957"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lastRenderedPageBreak/>
        <w:t>The primary framework for this engagement. All clauses (4–10) and the Annex A control set will be implemented and, ultimately, externally audited.</w:t>
      </w:r>
    </w:p>
    <w:p w14:paraId="4FB5BF99"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7F9D0B03">
          <v:rect id="_x0000_i1033" style="width:0;height:1.5pt" o:hralign="center" o:hrstd="t" o:hr="t" fillcolor="#a0a0a0" stroked="f"/>
        </w:pict>
      </w:r>
    </w:p>
    <w:p w14:paraId="0A842721"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8.2 India</w:t>
      </w:r>
    </w:p>
    <w:p w14:paraId="0ADDC89A"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Digital Personal Data Protection (DPDP) Act, 2023</w:t>
      </w:r>
      <w:r w:rsidRPr="00D131F1">
        <w:rPr>
          <w:rFonts w:ascii="Times New Roman" w:hAnsi="Times New Roman" w:cs="Times New Roman"/>
          <w:sz w:val="26"/>
          <w:szCs w:val="26"/>
        </w:rPr>
        <w:t xml:space="preserve"> — governs </w:t>
      </w:r>
      <w:proofErr w:type="spellStart"/>
      <w:r w:rsidRPr="00D131F1">
        <w:rPr>
          <w:rFonts w:ascii="Times New Roman" w:hAnsi="Times New Roman" w:cs="Times New Roman"/>
          <w:sz w:val="26"/>
          <w:szCs w:val="26"/>
        </w:rPr>
        <w:t>MediSync's</w:t>
      </w:r>
      <w:proofErr w:type="spellEnd"/>
      <w:r w:rsidRPr="00D131F1">
        <w:rPr>
          <w:rFonts w:ascii="Times New Roman" w:hAnsi="Times New Roman" w:cs="Times New Roman"/>
          <w:sz w:val="26"/>
          <w:szCs w:val="26"/>
        </w:rPr>
        <w:t xml:space="preserve"> handling of digital personal data as a Data Fiduciary. Relevant obligations the ISMS needs to support include: processing personal data only for lawful purpose with consent (or another legitimate basis), implementing "reasonable security safeguards" to prevent breaches, notifying the Data Protection Board and affected individuals in the event of a personal data breach, and </w:t>
      </w:r>
      <w:proofErr w:type="spellStart"/>
      <w:r w:rsidRPr="00D131F1">
        <w:rPr>
          <w:rFonts w:ascii="Times New Roman" w:hAnsi="Times New Roman" w:cs="Times New Roman"/>
          <w:sz w:val="26"/>
          <w:szCs w:val="26"/>
        </w:rPr>
        <w:t>honoring</w:t>
      </w:r>
      <w:proofErr w:type="spellEnd"/>
      <w:r w:rsidRPr="00D131F1">
        <w:rPr>
          <w:rFonts w:ascii="Times New Roman" w:hAnsi="Times New Roman" w:cs="Times New Roman"/>
          <w:sz w:val="26"/>
          <w:szCs w:val="26"/>
        </w:rPr>
        <w:t xml:space="preserve"> data principal rights such as access and correction. </w:t>
      </w:r>
      <w:proofErr w:type="spellStart"/>
      <w:r w:rsidRPr="00D131F1">
        <w:rPr>
          <w:rFonts w:ascii="Times New Roman" w:hAnsi="Times New Roman" w:cs="Times New Roman"/>
          <w:sz w:val="26"/>
          <w:szCs w:val="26"/>
        </w:rPr>
        <w:t>MediSync's</w:t>
      </w:r>
      <w:proofErr w:type="spellEnd"/>
      <w:r w:rsidRPr="00D131F1">
        <w:rPr>
          <w:rFonts w:ascii="Times New Roman" w:hAnsi="Times New Roman" w:cs="Times New Roman"/>
          <w:sz w:val="26"/>
          <w:szCs w:val="26"/>
        </w:rPr>
        <w:t xml:space="preserve"> clinical data will generally be treated as high-sensitivity data warranting stronger safeguards even where the Act does not create a separate special category. </w:t>
      </w:r>
    </w:p>
    <w:p w14:paraId="7965647A"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ABDM / Health Data Management Policy</w:t>
      </w:r>
      <w:r w:rsidRPr="00D131F1">
        <w:rPr>
          <w:rFonts w:ascii="Times New Roman" w:hAnsi="Times New Roman" w:cs="Times New Roman"/>
          <w:sz w:val="26"/>
          <w:szCs w:val="26"/>
        </w:rPr>
        <w:t xml:space="preserve"> — relevant to interoperability and consent-management expectations where </w:t>
      </w:r>
      <w:proofErr w:type="spellStart"/>
      <w:r w:rsidRPr="00D131F1">
        <w:rPr>
          <w:rFonts w:ascii="Times New Roman" w:hAnsi="Times New Roman" w:cs="Times New Roman"/>
          <w:sz w:val="26"/>
          <w:szCs w:val="26"/>
        </w:rPr>
        <w:t>MediSync's</w:t>
      </w:r>
      <w:proofErr w:type="spellEnd"/>
      <w:r w:rsidRPr="00D131F1">
        <w:rPr>
          <w:rFonts w:ascii="Times New Roman" w:hAnsi="Times New Roman" w:cs="Times New Roman"/>
          <w:sz w:val="26"/>
          <w:szCs w:val="26"/>
        </w:rPr>
        <w:t xml:space="preserve"> platforms connect into India's digital health ecosystem. </w:t>
      </w:r>
    </w:p>
    <w:p w14:paraId="41CCA6CA"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Telemedicine Practice Guidelines</w:t>
      </w:r>
      <w:r w:rsidRPr="00D131F1">
        <w:rPr>
          <w:rFonts w:ascii="Times New Roman" w:hAnsi="Times New Roman" w:cs="Times New Roman"/>
          <w:sz w:val="26"/>
          <w:szCs w:val="26"/>
        </w:rPr>
        <w:t xml:space="preserve"> — relevant to the TELE-PLT product's consultation and documentation workflows. </w:t>
      </w:r>
    </w:p>
    <w:p w14:paraId="632760A2"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Electronic Health Record (EHR) Standards</w:t>
      </w:r>
      <w:r w:rsidRPr="00D131F1">
        <w:rPr>
          <w:rFonts w:ascii="Times New Roman" w:hAnsi="Times New Roman" w:cs="Times New Roman"/>
          <w:sz w:val="26"/>
          <w:szCs w:val="26"/>
        </w:rPr>
        <w:t xml:space="preserve"> — relevant to how EHR-CORE structures and exchanges clinical data. </w:t>
      </w:r>
    </w:p>
    <w:p w14:paraId="78B30B1A"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National Medical Commission confidentiality obligations</w:t>
      </w:r>
      <w:r w:rsidRPr="00D131F1">
        <w:rPr>
          <w:rFonts w:ascii="Times New Roman" w:hAnsi="Times New Roman" w:cs="Times New Roman"/>
          <w:sz w:val="26"/>
          <w:szCs w:val="26"/>
        </w:rPr>
        <w:t xml:space="preserve"> — relevant indirectly, since </w:t>
      </w:r>
      <w:proofErr w:type="spellStart"/>
      <w:r w:rsidRPr="00D131F1">
        <w:rPr>
          <w:rFonts w:ascii="Times New Roman" w:hAnsi="Times New Roman" w:cs="Times New Roman"/>
          <w:sz w:val="26"/>
          <w:szCs w:val="26"/>
        </w:rPr>
        <w:t>MediSync's</w:t>
      </w:r>
      <w:proofErr w:type="spellEnd"/>
      <w:r w:rsidRPr="00D131F1">
        <w:rPr>
          <w:rFonts w:ascii="Times New Roman" w:hAnsi="Times New Roman" w:cs="Times New Roman"/>
          <w:sz w:val="26"/>
          <w:szCs w:val="26"/>
        </w:rPr>
        <w:t xml:space="preserve"> platforms are the technical means by which its physician customers meet their own confidentiality duties. </w:t>
      </w:r>
    </w:p>
    <w:p w14:paraId="07BDE600" w14:textId="77777777" w:rsidR="00FC31F2" w:rsidRPr="00D131F1" w:rsidRDefault="00FC31F2" w:rsidP="00FC31F2">
      <w:pPr>
        <w:numPr>
          <w:ilvl w:val="0"/>
          <w:numId w:val="6"/>
        </w:numPr>
        <w:rPr>
          <w:rFonts w:ascii="Times New Roman" w:hAnsi="Times New Roman" w:cs="Times New Roman"/>
          <w:sz w:val="26"/>
          <w:szCs w:val="26"/>
        </w:rPr>
      </w:pPr>
      <w:r w:rsidRPr="00D131F1">
        <w:rPr>
          <w:rFonts w:ascii="Times New Roman" w:hAnsi="Times New Roman" w:cs="Times New Roman"/>
          <w:b/>
          <w:bCs/>
          <w:sz w:val="26"/>
          <w:szCs w:val="26"/>
        </w:rPr>
        <w:t>Information Technology Act, 2000</w:t>
      </w:r>
      <w:r w:rsidRPr="00D131F1">
        <w:rPr>
          <w:rFonts w:ascii="Times New Roman" w:hAnsi="Times New Roman" w:cs="Times New Roman"/>
          <w:sz w:val="26"/>
          <w:szCs w:val="26"/>
        </w:rPr>
        <w:t xml:space="preserve"> — relevant to information security and breach-notification obligations more broadly, where applicable alongside the DPDP Act. </w:t>
      </w:r>
    </w:p>
    <w:p w14:paraId="1B2D43BA"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46BC78BC">
          <v:rect id="_x0000_i1034" style="width:0;height:1.5pt" o:hralign="center" o:hrstd="t" o:hr="t" fillcolor="#a0a0a0" stroked="f"/>
        </w:pict>
      </w:r>
    </w:p>
    <w:p w14:paraId="328BF31D"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8.3 United Arab Emirates</w:t>
      </w:r>
    </w:p>
    <w:p w14:paraId="3DFA7062" w14:textId="77777777" w:rsidR="00FC31F2" w:rsidRPr="00D131F1" w:rsidRDefault="00FC31F2" w:rsidP="00FC31F2">
      <w:pPr>
        <w:numPr>
          <w:ilvl w:val="0"/>
          <w:numId w:val="7"/>
        </w:numPr>
        <w:rPr>
          <w:rFonts w:ascii="Times New Roman" w:hAnsi="Times New Roman" w:cs="Times New Roman"/>
          <w:sz w:val="26"/>
          <w:szCs w:val="26"/>
        </w:rPr>
      </w:pPr>
      <w:r w:rsidRPr="00D131F1">
        <w:rPr>
          <w:rFonts w:ascii="Times New Roman" w:hAnsi="Times New Roman" w:cs="Times New Roman"/>
          <w:b/>
          <w:bCs/>
          <w:sz w:val="26"/>
          <w:szCs w:val="26"/>
        </w:rPr>
        <w:t>UAE Personal Data Protection Law (Federal Decree-Law No. 45 of 2021, PDPL)</w:t>
      </w:r>
      <w:r w:rsidRPr="00D131F1">
        <w:rPr>
          <w:rFonts w:ascii="Times New Roman" w:hAnsi="Times New Roman" w:cs="Times New Roman"/>
          <w:sz w:val="26"/>
          <w:szCs w:val="26"/>
        </w:rPr>
        <w:t xml:space="preserve"> — governs processing of personal data of UAE-based data subjects, with obligations around consent, data subject rights, cross-border transfer, and appointment of a data protection officer where thresholds are met. </w:t>
      </w:r>
    </w:p>
    <w:p w14:paraId="4BB63911" w14:textId="77777777" w:rsidR="00FC31F2" w:rsidRPr="00D131F1" w:rsidRDefault="00FC31F2" w:rsidP="00FC31F2">
      <w:pPr>
        <w:numPr>
          <w:ilvl w:val="0"/>
          <w:numId w:val="7"/>
        </w:numPr>
        <w:rPr>
          <w:rFonts w:ascii="Times New Roman" w:hAnsi="Times New Roman" w:cs="Times New Roman"/>
          <w:sz w:val="26"/>
          <w:szCs w:val="26"/>
        </w:rPr>
      </w:pPr>
      <w:r w:rsidRPr="00D131F1">
        <w:rPr>
          <w:rFonts w:ascii="Times New Roman" w:hAnsi="Times New Roman" w:cs="Times New Roman"/>
          <w:b/>
          <w:bCs/>
          <w:sz w:val="26"/>
          <w:szCs w:val="26"/>
        </w:rPr>
        <w:t xml:space="preserve">Healthcare-sector data requirements applicable to </w:t>
      </w:r>
      <w:proofErr w:type="spellStart"/>
      <w:r w:rsidRPr="00D131F1">
        <w:rPr>
          <w:rFonts w:ascii="Times New Roman" w:hAnsi="Times New Roman" w:cs="Times New Roman"/>
          <w:b/>
          <w:bCs/>
          <w:sz w:val="26"/>
          <w:szCs w:val="26"/>
        </w:rPr>
        <w:t>MediSync's</w:t>
      </w:r>
      <w:proofErr w:type="spellEnd"/>
      <w:r w:rsidRPr="00D131F1">
        <w:rPr>
          <w:rFonts w:ascii="Times New Roman" w:hAnsi="Times New Roman" w:cs="Times New Roman"/>
          <w:b/>
          <w:bCs/>
          <w:sz w:val="26"/>
          <w:szCs w:val="26"/>
        </w:rPr>
        <w:t xml:space="preserve"> UAE customers and contracts</w:t>
      </w:r>
      <w:r w:rsidRPr="00D131F1">
        <w:rPr>
          <w:rFonts w:ascii="Times New Roman" w:hAnsi="Times New Roman" w:cs="Times New Roman"/>
          <w:sz w:val="26"/>
          <w:szCs w:val="26"/>
        </w:rPr>
        <w:t xml:space="preserve"> — assessed and mapped on a contract-by-contract basis rather than assumed uniformly, since UAE healthcare data governance varies by emirate and by the free zone (if any) a customer operates in. This </w:t>
      </w:r>
      <w:r w:rsidRPr="00D131F1">
        <w:rPr>
          <w:rFonts w:ascii="Times New Roman" w:hAnsi="Times New Roman" w:cs="Times New Roman"/>
          <w:sz w:val="26"/>
          <w:szCs w:val="26"/>
        </w:rPr>
        <w:lastRenderedPageBreak/>
        <w:t xml:space="preserve">mapping is a Phase 1 deliverable (Legal &amp; Regulatory Register), not assumed here. </w:t>
      </w:r>
    </w:p>
    <w:p w14:paraId="28B8165F" w14:textId="77777777" w:rsidR="00FC31F2" w:rsidRPr="00D131F1" w:rsidRDefault="00FC31F2" w:rsidP="00FC31F2">
      <w:pPr>
        <w:rPr>
          <w:rFonts w:ascii="Times New Roman" w:hAnsi="Times New Roman" w:cs="Times New Roman"/>
          <w:sz w:val="26"/>
          <w:szCs w:val="26"/>
        </w:rPr>
      </w:pPr>
      <w:r>
        <w:rPr>
          <w:rFonts w:ascii="Times New Roman" w:hAnsi="Times New Roman" w:cs="Times New Roman"/>
          <w:sz w:val="26"/>
          <w:szCs w:val="26"/>
        </w:rPr>
        <w:pict w14:anchorId="4770ADDF">
          <v:rect id="_x0000_i1035" style="width:0;height:1.5pt" o:hralign="center" o:hrstd="t" o:hr="t" fillcolor="#a0a0a0" stroked="f"/>
        </w:pict>
      </w:r>
    </w:p>
    <w:p w14:paraId="393F0225"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8.4 Contractual Obligations</w:t>
      </w:r>
    </w:p>
    <w:p w14:paraId="414211CB"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t xml:space="preserve">A growing share of </w:t>
      </w:r>
      <w:proofErr w:type="spellStart"/>
      <w:r w:rsidRPr="00D131F1">
        <w:rPr>
          <w:rFonts w:ascii="Times New Roman" w:hAnsi="Times New Roman" w:cs="Times New Roman"/>
          <w:sz w:val="26"/>
          <w:szCs w:val="26"/>
        </w:rPr>
        <w:t>MediSync's</w:t>
      </w:r>
      <w:proofErr w:type="spellEnd"/>
      <w:r w:rsidRPr="00D131F1">
        <w:rPr>
          <w:rFonts w:ascii="Times New Roman" w:hAnsi="Times New Roman" w:cs="Times New Roman"/>
          <w:sz w:val="26"/>
          <w:szCs w:val="26"/>
        </w:rPr>
        <w:t xml:space="preserve"> enterprise contracts (both India and UAE) include security schedules, breach-notification timelines, right-to-audit clauses, and, increasingly, an explicit ISO/IEC 27001 certification requirement. The Legal &amp; Regulatory Register (Phase 1) will consolidate these on a per-contract basis.</w:t>
      </w:r>
    </w:p>
    <w:p w14:paraId="1EB1761C"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sz w:val="26"/>
          <w:szCs w:val="26"/>
        </w:rPr>
        <w:t>A full compliance mapping between these obligations and the implemented Annex A controls will be maintained from Phase 3 onward.</w:t>
      </w:r>
    </w:p>
    <w:p w14:paraId="190CD017" w14:textId="77777777" w:rsidR="00FC31F2" w:rsidRDefault="00FC31F2" w:rsidP="00FC31F2">
      <w:pPr>
        <w:rPr>
          <w:rFonts w:ascii="Times New Roman" w:hAnsi="Times New Roman" w:cs="Times New Roman"/>
          <w:sz w:val="26"/>
          <w:szCs w:val="26"/>
        </w:rPr>
      </w:pPr>
    </w:p>
    <w:p w14:paraId="1B97B383" w14:textId="77777777" w:rsidR="00FC31F2" w:rsidRPr="00D131F1" w:rsidRDefault="00FC31F2" w:rsidP="00FC31F2">
      <w:pPr>
        <w:rPr>
          <w:rFonts w:ascii="Times New Roman" w:hAnsi="Times New Roman" w:cs="Times New Roman"/>
          <w:b/>
          <w:bCs/>
          <w:sz w:val="26"/>
          <w:szCs w:val="26"/>
        </w:rPr>
      </w:pPr>
      <w:r w:rsidRPr="00D131F1">
        <w:rPr>
          <w:rFonts w:ascii="Times New Roman" w:hAnsi="Times New Roman" w:cs="Times New Roman"/>
          <w:b/>
          <w:bCs/>
          <w:sz w:val="26"/>
          <w:szCs w:val="26"/>
        </w:rPr>
        <w:t>9. Organizational Structure</w:t>
      </w:r>
    </w:p>
    <w:p w14:paraId="25CE6210" w14:textId="77777777" w:rsidR="00FC31F2" w:rsidRPr="00D131F1" w:rsidRDefault="00FC31F2" w:rsidP="00FC31F2">
      <w:pPr>
        <w:rPr>
          <w:rFonts w:ascii="Times New Roman" w:hAnsi="Times New Roman" w:cs="Times New Roman"/>
          <w:sz w:val="26"/>
          <w:szCs w:val="26"/>
        </w:rPr>
      </w:pPr>
      <w:r w:rsidRPr="00D131F1">
        <w:rPr>
          <w:rFonts w:ascii="Times New Roman" w:hAnsi="Times New Roman" w:cs="Times New Roman"/>
          <w:b/>
          <w:bCs/>
          <w:sz w:val="26"/>
          <w:szCs w:val="26"/>
        </w:rPr>
        <w:t>Departments and approximate headcount:</w:t>
      </w:r>
    </w:p>
    <w:tbl>
      <w:tblPr>
        <w:tblStyle w:val="TableGrid"/>
        <w:tblW w:w="0" w:type="auto"/>
        <w:tblInd w:w="-607" w:type="dxa"/>
        <w:tblLook w:val="04A0" w:firstRow="1" w:lastRow="0" w:firstColumn="1" w:lastColumn="0" w:noHBand="0" w:noVBand="1"/>
      </w:tblPr>
      <w:tblGrid>
        <w:gridCol w:w="2729"/>
        <w:gridCol w:w="1559"/>
        <w:gridCol w:w="4728"/>
      </w:tblGrid>
      <w:tr w:rsidR="00FC31F2" w14:paraId="39BE7CF8" w14:textId="77777777" w:rsidTr="006314D5">
        <w:tc>
          <w:tcPr>
            <w:tcW w:w="2729" w:type="dxa"/>
          </w:tcPr>
          <w:p w14:paraId="7994BF80"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Department</w:t>
            </w:r>
          </w:p>
        </w:tc>
        <w:tc>
          <w:tcPr>
            <w:tcW w:w="1559" w:type="dxa"/>
          </w:tcPr>
          <w:p w14:paraId="5A837A79"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Approx. Headcount</w:t>
            </w:r>
          </w:p>
        </w:tc>
        <w:tc>
          <w:tcPr>
            <w:tcW w:w="4728" w:type="dxa"/>
          </w:tcPr>
          <w:p w14:paraId="00FE603C"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Function</w:t>
            </w:r>
          </w:p>
        </w:tc>
      </w:tr>
      <w:tr w:rsidR="00FC31F2" w14:paraId="30ED5F1F" w14:textId="77777777" w:rsidTr="006314D5">
        <w:tc>
          <w:tcPr>
            <w:tcW w:w="2729" w:type="dxa"/>
          </w:tcPr>
          <w:p w14:paraId="5BCCFF26"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Executive Management</w:t>
            </w:r>
          </w:p>
        </w:tc>
        <w:tc>
          <w:tcPr>
            <w:tcW w:w="1559" w:type="dxa"/>
          </w:tcPr>
          <w:p w14:paraId="62653DED"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6</w:t>
            </w:r>
          </w:p>
        </w:tc>
        <w:tc>
          <w:tcPr>
            <w:tcW w:w="4728" w:type="dxa"/>
          </w:tcPr>
          <w:p w14:paraId="6105A73B"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Company strategy, Board reporting, ultimate accountability for the ISMS</w:t>
            </w:r>
          </w:p>
        </w:tc>
      </w:tr>
      <w:tr w:rsidR="00FC31F2" w14:paraId="49DCC5DE" w14:textId="77777777" w:rsidTr="006314D5">
        <w:tc>
          <w:tcPr>
            <w:tcW w:w="2729" w:type="dxa"/>
          </w:tcPr>
          <w:p w14:paraId="1D66F631"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Information Security &amp; GRC</w:t>
            </w:r>
          </w:p>
        </w:tc>
        <w:tc>
          <w:tcPr>
            <w:tcW w:w="1559" w:type="dxa"/>
          </w:tcPr>
          <w:p w14:paraId="11FF65AF"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8</w:t>
            </w:r>
          </w:p>
        </w:tc>
        <w:tc>
          <w:tcPr>
            <w:tcW w:w="4728" w:type="dxa"/>
          </w:tcPr>
          <w:p w14:paraId="0DECA0AD"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ISMS ownership, policy, risk management, compliance, audit coordination</w:t>
            </w:r>
          </w:p>
        </w:tc>
      </w:tr>
      <w:tr w:rsidR="00FC31F2" w14:paraId="254CF8C4" w14:textId="77777777" w:rsidTr="006314D5">
        <w:tc>
          <w:tcPr>
            <w:tcW w:w="2729" w:type="dxa"/>
          </w:tcPr>
          <w:p w14:paraId="359FB841"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Information Technology Operations</w:t>
            </w:r>
          </w:p>
        </w:tc>
        <w:tc>
          <w:tcPr>
            <w:tcW w:w="1559" w:type="dxa"/>
          </w:tcPr>
          <w:p w14:paraId="4B6C70F3"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22</w:t>
            </w:r>
          </w:p>
        </w:tc>
        <w:tc>
          <w:tcPr>
            <w:tcW w:w="4728" w:type="dxa"/>
          </w:tcPr>
          <w:p w14:paraId="1A36043B"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Corporate IT, endpoints, internal systems, service desk</w:t>
            </w:r>
          </w:p>
        </w:tc>
      </w:tr>
      <w:tr w:rsidR="00FC31F2" w14:paraId="18DB2DAA" w14:textId="77777777" w:rsidTr="006314D5">
        <w:tc>
          <w:tcPr>
            <w:tcW w:w="2729" w:type="dxa"/>
          </w:tcPr>
          <w:p w14:paraId="14F04CED"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Cloud Infrastructure</w:t>
            </w:r>
          </w:p>
        </w:tc>
        <w:tc>
          <w:tcPr>
            <w:tcW w:w="1559" w:type="dxa"/>
          </w:tcPr>
          <w:p w14:paraId="61C3CBC7"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18</w:t>
            </w:r>
          </w:p>
        </w:tc>
        <w:tc>
          <w:tcPr>
            <w:tcW w:w="4728" w:type="dxa"/>
          </w:tcPr>
          <w:p w14:paraId="2F6D8D87"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Cloud platform (AWS/Azure), networking, environments</w:t>
            </w:r>
          </w:p>
        </w:tc>
      </w:tr>
      <w:tr w:rsidR="00FC31F2" w14:paraId="62CB1189" w14:textId="77777777" w:rsidTr="006314D5">
        <w:tc>
          <w:tcPr>
            <w:tcW w:w="2729" w:type="dxa"/>
          </w:tcPr>
          <w:p w14:paraId="2B73A063"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Software Engineering</w:t>
            </w:r>
          </w:p>
        </w:tc>
        <w:tc>
          <w:tcPr>
            <w:tcW w:w="1559" w:type="dxa"/>
          </w:tcPr>
          <w:p w14:paraId="0DDCB056"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140</w:t>
            </w:r>
          </w:p>
        </w:tc>
        <w:tc>
          <w:tcPr>
            <w:tcW w:w="4728" w:type="dxa"/>
          </w:tcPr>
          <w:p w14:paraId="666599D3" w14:textId="77777777" w:rsidR="00FC31F2"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Product development across all eight platforms</w:t>
            </w:r>
          </w:p>
        </w:tc>
      </w:tr>
      <w:tr w:rsidR="00FC31F2" w14:paraId="1F35727E" w14:textId="77777777" w:rsidTr="006314D5">
        <w:tc>
          <w:tcPr>
            <w:tcW w:w="2729" w:type="dxa"/>
          </w:tcPr>
          <w:p w14:paraId="236CA577"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DevSecOps</w:t>
            </w:r>
          </w:p>
        </w:tc>
        <w:tc>
          <w:tcPr>
            <w:tcW w:w="1559" w:type="dxa"/>
          </w:tcPr>
          <w:p w14:paraId="1A1480E7"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14</w:t>
            </w:r>
          </w:p>
        </w:tc>
        <w:tc>
          <w:tcPr>
            <w:tcW w:w="4728" w:type="dxa"/>
          </w:tcPr>
          <w:p w14:paraId="1FA1DA03"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CI/CD pipeline, secure SDLC tooling, release management</w:t>
            </w:r>
          </w:p>
        </w:tc>
      </w:tr>
      <w:tr w:rsidR="00FC31F2" w14:paraId="798709BF" w14:textId="77777777" w:rsidTr="006314D5">
        <w:tc>
          <w:tcPr>
            <w:tcW w:w="2729" w:type="dxa"/>
          </w:tcPr>
          <w:p w14:paraId="60761799"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 xml:space="preserve">Security Operations </w:t>
            </w:r>
            <w:proofErr w:type="spellStart"/>
            <w:r w:rsidRPr="00D131F1">
              <w:rPr>
                <w:rFonts w:ascii="Times New Roman" w:hAnsi="Times New Roman" w:cs="Times New Roman"/>
                <w:sz w:val="26"/>
                <w:szCs w:val="26"/>
              </w:rPr>
              <w:t>Center</w:t>
            </w:r>
            <w:proofErr w:type="spellEnd"/>
            <w:r w:rsidRPr="00D131F1">
              <w:rPr>
                <w:rFonts w:ascii="Times New Roman" w:hAnsi="Times New Roman" w:cs="Times New Roman"/>
                <w:sz w:val="26"/>
                <w:szCs w:val="26"/>
              </w:rPr>
              <w:t xml:space="preserve"> (SOC)</w:t>
            </w:r>
          </w:p>
        </w:tc>
        <w:tc>
          <w:tcPr>
            <w:tcW w:w="1559" w:type="dxa"/>
          </w:tcPr>
          <w:p w14:paraId="2D7441E4"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9</w:t>
            </w:r>
          </w:p>
        </w:tc>
        <w:tc>
          <w:tcPr>
            <w:tcW w:w="4728" w:type="dxa"/>
          </w:tcPr>
          <w:p w14:paraId="6010A496"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Monitoring, detection, first-line incident response</w:t>
            </w:r>
          </w:p>
        </w:tc>
      </w:tr>
      <w:tr w:rsidR="00FC31F2" w14:paraId="584965D0" w14:textId="77777777" w:rsidTr="006314D5">
        <w:tc>
          <w:tcPr>
            <w:tcW w:w="2729" w:type="dxa"/>
          </w:tcPr>
          <w:p w14:paraId="4C8DDCDF"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Human Resources</w:t>
            </w:r>
          </w:p>
        </w:tc>
        <w:tc>
          <w:tcPr>
            <w:tcW w:w="1559" w:type="dxa"/>
          </w:tcPr>
          <w:p w14:paraId="795F33D8"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12</w:t>
            </w:r>
          </w:p>
        </w:tc>
        <w:tc>
          <w:tcPr>
            <w:tcW w:w="4728" w:type="dxa"/>
          </w:tcPr>
          <w:p w14:paraId="5454E7B1"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Hiring, onboarding/offboarding, HR records</w:t>
            </w:r>
          </w:p>
        </w:tc>
      </w:tr>
      <w:tr w:rsidR="00FC31F2" w14:paraId="3F91A274" w14:textId="77777777" w:rsidTr="006314D5">
        <w:tc>
          <w:tcPr>
            <w:tcW w:w="2729" w:type="dxa"/>
          </w:tcPr>
          <w:p w14:paraId="12D3C7B7"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Finance</w:t>
            </w:r>
          </w:p>
        </w:tc>
        <w:tc>
          <w:tcPr>
            <w:tcW w:w="1559" w:type="dxa"/>
          </w:tcPr>
          <w:p w14:paraId="61A16137"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15</w:t>
            </w:r>
          </w:p>
        </w:tc>
        <w:tc>
          <w:tcPr>
            <w:tcW w:w="4728" w:type="dxa"/>
          </w:tcPr>
          <w:p w14:paraId="071B5B7E"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Billing, payroll, financial records</w:t>
            </w:r>
          </w:p>
        </w:tc>
      </w:tr>
      <w:tr w:rsidR="00FC31F2" w14:paraId="283CF618" w14:textId="77777777" w:rsidTr="006314D5">
        <w:tc>
          <w:tcPr>
            <w:tcW w:w="2729" w:type="dxa"/>
          </w:tcPr>
          <w:p w14:paraId="51120006"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Procurement</w:t>
            </w:r>
          </w:p>
        </w:tc>
        <w:tc>
          <w:tcPr>
            <w:tcW w:w="1559" w:type="dxa"/>
          </w:tcPr>
          <w:p w14:paraId="3A97D5C0"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6</w:t>
            </w:r>
          </w:p>
        </w:tc>
        <w:tc>
          <w:tcPr>
            <w:tcW w:w="4728" w:type="dxa"/>
          </w:tcPr>
          <w:p w14:paraId="6DEFEBFB"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Vendor sourcing and contracting</w:t>
            </w:r>
          </w:p>
        </w:tc>
      </w:tr>
      <w:tr w:rsidR="00FC31F2" w14:paraId="600FD5BB" w14:textId="77777777" w:rsidTr="006314D5">
        <w:tc>
          <w:tcPr>
            <w:tcW w:w="2729" w:type="dxa"/>
          </w:tcPr>
          <w:p w14:paraId="45B9BE93"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Legal &amp; Compliance</w:t>
            </w:r>
          </w:p>
        </w:tc>
        <w:tc>
          <w:tcPr>
            <w:tcW w:w="1559" w:type="dxa"/>
          </w:tcPr>
          <w:p w14:paraId="01D0EEAA"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7</w:t>
            </w:r>
          </w:p>
        </w:tc>
        <w:tc>
          <w:tcPr>
            <w:tcW w:w="4728" w:type="dxa"/>
          </w:tcPr>
          <w:p w14:paraId="47609A64"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Contracts, regulatory liaison, data protection</w:t>
            </w:r>
          </w:p>
        </w:tc>
      </w:tr>
      <w:tr w:rsidR="00FC31F2" w14:paraId="2DDC7AD8" w14:textId="77777777" w:rsidTr="006314D5">
        <w:tc>
          <w:tcPr>
            <w:tcW w:w="2729" w:type="dxa"/>
          </w:tcPr>
          <w:p w14:paraId="5A874AE3"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Customer Success</w:t>
            </w:r>
          </w:p>
        </w:tc>
        <w:tc>
          <w:tcPr>
            <w:tcW w:w="1559" w:type="dxa"/>
          </w:tcPr>
          <w:p w14:paraId="1350CC25"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48</w:t>
            </w:r>
          </w:p>
        </w:tc>
        <w:tc>
          <w:tcPr>
            <w:tcW w:w="4728" w:type="dxa"/>
          </w:tcPr>
          <w:p w14:paraId="1DB46D94"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Onboarding, support, account management</w:t>
            </w:r>
          </w:p>
        </w:tc>
      </w:tr>
      <w:tr w:rsidR="00FC31F2" w14:paraId="324CA837" w14:textId="77777777" w:rsidTr="006314D5">
        <w:tc>
          <w:tcPr>
            <w:tcW w:w="2729" w:type="dxa"/>
          </w:tcPr>
          <w:p w14:paraId="7E616D28"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Sales</w:t>
            </w:r>
          </w:p>
        </w:tc>
        <w:tc>
          <w:tcPr>
            <w:tcW w:w="1559" w:type="dxa"/>
          </w:tcPr>
          <w:p w14:paraId="7AA59CAD"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35</w:t>
            </w:r>
          </w:p>
        </w:tc>
        <w:tc>
          <w:tcPr>
            <w:tcW w:w="4728" w:type="dxa"/>
          </w:tcPr>
          <w:p w14:paraId="3E789082"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New business, renewals (India and UAE)</w:t>
            </w:r>
          </w:p>
        </w:tc>
      </w:tr>
      <w:tr w:rsidR="00FC31F2" w14:paraId="60543E39" w14:textId="77777777" w:rsidTr="006314D5">
        <w:tc>
          <w:tcPr>
            <w:tcW w:w="2729" w:type="dxa"/>
          </w:tcPr>
          <w:p w14:paraId="41DE096B"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Clinical Integration Team</w:t>
            </w:r>
          </w:p>
        </w:tc>
        <w:tc>
          <w:tcPr>
            <w:tcW w:w="1559" w:type="dxa"/>
          </w:tcPr>
          <w:p w14:paraId="7E1C13A0"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20</w:t>
            </w:r>
          </w:p>
        </w:tc>
        <w:tc>
          <w:tcPr>
            <w:tcW w:w="4728" w:type="dxa"/>
          </w:tcPr>
          <w:p w14:paraId="1629E574"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Clinical workflow configuration, lab/pharmacy integration support</w:t>
            </w:r>
          </w:p>
        </w:tc>
      </w:tr>
      <w:tr w:rsidR="00FC31F2" w14:paraId="39ED4E5D" w14:textId="77777777" w:rsidTr="006314D5">
        <w:tc>
          <w:tcPr>
            <w:tcW w:w="2729" w:type="dxa"/>
          </w:tcPr>
          <w:p w14:paraId="1AE3FB8F"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Quality Assurance</w:t>
            </w:r>
          </w:p>
        </w:tc>
        <w:tc>
          <w:tcPr>
            <w:tcW w:w="1559" w:type="dxa"/>
          </w:tcPr>
          <w:p w14:paraId="3736512D"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20</w:t>
            </w:r>
          </w:p>
        </w:tc>
        <w:tc>
          <w:tcPr>
            <w:tcW w:w="4728" w:type="dxa"/>
          </w:tcPr>
          <w:p w14:paraId="39D4F5FA"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Product testing and release quality</w:t>
            </w:r>
          </w:p>
        </w:tc>
      </w:tr>
      <w:tr w:rsidR="00FC31F2" w14:paraId="24E9F470" w14:textId="77777777" w:rsidTr="006314D5">
        <w:tc>
          <w:tcPr>
            <w:tcW w:w="2729" w:type="dxa"/>
          </w:tcPr>
          <w:p w14:paraId="5FE417C1"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lastRenderedPageBreak/>
              <w:t>Total</w:t>
            </w:r>
          </w:p>
        </w:tc>
        <w:tc>
          <w:tcPr>
            <w:tcW w:w="1559" w:type="dxa"/>
          </w:tcPr>
          <w:p w14:paraId="4C703C60" w14:textId="77777777" w:rsidR="00FC31F2" w:rsidRPr="00D131F1" w:rsidRDefault="00FC31F2" w:rsidP="006314D5">
            <w:pPr>
              <w:ind w:left="0" w:firstLine="0"/>
              <w:rPr>
                <w:rFonts w:ascii="Times New Roman" w:hAnsi="Times New Roman" w:cs="Times New Roman"/>
                <w:sz w:val="26"/>
                <w:szCs w:val="26"/>
              </w:rPr>
            </w:pPr>
            <w:r w:rsidRPr="00D131F1">
              <w:rPr>
                <w:rFonts w:ascii="Times New Roman" w:hAnsi="Times New Roman" w:cs="Times New Roman"/>
                <w:sz w:val="26"/>
                <w:szCs w:val="26"/>
              </w:rPr>
              <w:t>~430</w:t>
            </w:r>
          </w:p>
        </w:tc>
        <w:tc>
          <w:tcPr>
            <w:tcW w:w="4728" w:type="dxa"/>
          </w:tcPr>
          <w:p w14:paraId="08C912FC" w14:textId="77777777" w:rsidR="00FC31F2" w:rsidRPr="00D131F1" w:rsidRDefault="00FC31F2" w:rsidP="006314D5">
            <w:pPr>
              <w:ind w:left="0" w:firstLine="0"/>
              <w:rPr>
                <w:rFonts w:ascii="Times New Roman" w:hAnsi="Times New Roman" w:cs="Times New Roman"/>
                <w:sz w:val="26"/>
                <w:szCs w:val="26"/>
              </w:rPr>
            </w:pPr>
          </w:p>
        </w:tc>
      </w:tr>
    </w:tbl>
    <w:p w14:paraId="3E532A94" w14:textId="77777777" w:rsidR="00FC31F2" w:rsidRDefault="00FC31F2" w:rsidP="00FC31F2">
      <w:pPr>
        <w:rPr>
          <w:rFonts w:ascii="Times New Roman" w:hAnsi="Times New Roman" w:cs="Times New Roman"/>
          <w:sz w:val="26"/>
          <w:szCs w:val="26"/>
        </w:rPr>
      </w:pPr>
    </w:p>
    <w:p w14:paraId="17954AF5" w14:textId="77777777" w:rsidR="00FC31F2" w:rsidRDefault="00FC31F2" w:rsidP="00FC31F2">
      <w:pPr>
        <w:rPr>
          <w:rFonts w:ascii="Times New Roman" w:hAnsi="Times New Roman" w:cs="Times New Roman"/>
          <w:sz w:val="26"/>
          <w:szCs w:val="26"/>
        </w:rPr>
      </w:pPr>
    </w:p>
    <w:p w14:paraId="55694EA7"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ISMS governance overlay (defined further in Phase 2 — Leadership):</w:t>
      </w:r>
    </w:p>
    <w:p w14:paraId="43FB389B" w14:textId="77777777" w:rsidR="00FC31F2" w:rsidRPr="0084455E" w:rsidRDefault="00FC31F2" w:rsidP="00FC31F2">
      <w:pPr>
        <w:numPr>
          <w:ilvl w:val="0"/>
          <w:numId w:val="8"/>
        </w:numPr>
        <w:rPr>
          <w:rFonts w:ascii="Times New Roman" w:hAnsi="Times New Roman" w:cs="Times New Roman"/>
          <w:sz w:val="26"/>
          <w:szCs w:val="26"/>
        </w:rPr>
      </w:pPr>
      <w:r w:rsidRPr="0084455E">
        <w:rPr>
          <w:rFonts w:ascii="Times New Roman" w:hAnsi="Times New Roman" w:cs="Times New Roman"/>
          <w:b/>
          <w:bCs/>
          <w:sz w:val="26"/>
          <w:szCs w:val="26"/>
        </w:rPr>
        <w:t>ISMS Steering Committee</w:t>
      </w:r>
      <w:r w:rsidRPr="0084455E">
        <w:rPr>
          <w:rFonts w:ascii="Times New Roman" w:hAnsi="Times New Roman" w:cs="Times New Roman"/>
          <w:sz w:val="26"/>
          <w:szCs w:val="26"/>
        </w:rPr>
        <w:t xml:space="preserve"> — Executive Management + department heads; meets quarterly; ultimate decision-making body for ISMS direction and risk acceptance above defined thresholds. </w:t>
      </w:r>
    </w:p>
    <w:p w14:paraId="17B76748" w14:textId="77777777" w:rsidR="00FC31F2" w:rsidRPr="0084455E" w:rsidRDefault="00FC31F2" w:rsidP="00FC31F2">
      <w:pPr>
        <w:numPr>
          <w:ilvl w:val="0"/>
          <w:numId w:val="8"/>
        </w:numPr>
        <w:rPr>
          <w:rFonts w:ascii="Times New Roman" w:hAnsi="Times New Roman" w:cs="Times New Roman"/>
          <w:sz w:val="26"/>
          <w:szCs w:val="26"/>
        </w:rPr>
      </w:pPr>
      <w:r w:rsidRPr="0084455E">
        <w:rPr>
          <w:rFonts w:ascii="Times New Roman" w:hAnsi="Times New Roman" w:cs="Times New Roman"/>
          <w:b/>
          <w:bCs/>
          <w:sz w:val="26"/>
          <w:szCs w:val="26"/>
        </w:rPr>
        <w:t>Chief Information Security Officer (CISO)</w:t>
      </w:r>
      <w:r w:rsidRPr="0084455E">
        <w:rPr>
          <w:rFonts w:ascii="Times New Roman" w:hAnsi="Times New Roman" w:cs="Times New Roman"/>
          <w:sz w:val="26"/>
          <w:szCs w:val="26"/>
        </w:rPr>
        <w:t xml:space="preserve"> — reports to the CEO with a dotted line to the Board; accountable for the ISMS day to day. </w:t>
      </w:r>
    </w:p>
    <w:p w14:paraId="7201E7E1" w14:textId="77777777" w:rsidR="00FC31F2" w:rsidRPr="0084455E" w:rsidRDefault="00FC31F2" w:rsidP="00FC31F2">
      <w:pPr>
        <w:numPr>
          <w:ilvl w:val="0"/>
          <w:numId w:val="8"/>
        </w:numPr>
        <w:rPr>
          <w:rFonts w:ascii="Times New Roman" w:hAnsi="Times New Roman" w:cs="Times New Roman"/>
          <w:sz w:val="26"/>
          <w:szCs w:val="26"/>
        </w:rPr>
      </w:pPr>
      <w:r w:rsidRPr="0084455E">
        <w:rPr>
          <w:rFonts w:ascii="Times New Roman" w:hAnsi="Times New Roman" w:cs="Times New Roman"/>
          <w:b/>
          <w:bCs/>
          <w:sz w:val="26"/>
          <w:szCs w:val="26"/>
        </w:rPr>
        <w:t>ISMS Manager</w:t>
      </w:r>
      <w:r w:rsidRPr="0084455E">
        <w:rPr>
          <w:rFonts w:ascii="Times New Roman" w:hAnsi="Times New Roman" w:cs="Times New Roman"/>
          <w:sz w:val="26"/>
          <w:szCs w:val="26"/>
        </w:rPr>
        <w:t xml:space="preserve"> — sits within Information Security &amp; GRC; owns documentation, internal audit coordination, and the risk register. </w:t>
      </w:r>
    </w:p>
    <w:p w14:paraId="4E29A1D1" w14:textId="77777777" w:rsidR="00FC31F2" w:rsidRPr="0084455E" w:rsidRDefault="00FC31F2" w:rsidP="00FC31F2">
      <w:pPr>
        <w:numPr>
          <w:ilvl w:val="0"/>
          <w:numId w:val="8"/>
        </w:numPr>
        <w:rPr>
          <w:rFonts w:ascii="Times New Roman" w:hAnsi="Times New Roman" w:cs="Times New Roman"/>
          <w:sz w:val="26"/>
          <w:szCs w:val="26"/>
        </w:rPr>
      </w:pPr>
      <w:r w:rsidRPr="0084455E">
        <w:rPr>
          <w:rFonts w:ascii="Times New Roman" w:hAnsi="Times New Roman" w:cs="Times New Roman"/>
          <w:b/>
          <w:bCs/>
          <w:sz w:val="26"/>
          <w:szCs w:val="26"/>
        </w:rPr>
        <w:t>Department Security Champions</w:t>
      </w:r>
      <w:r w:rsidRPr="0084455E">
        <w:rPr>
          <w:rFonts w:ascii="Times New Roman" w:hAnsi="Times New Roman" w:cs="Times New Roman"/>
          <w:sz w:val="26"/>
          <w:szCs w:val="26"/>
        </w:rPr>
        <w:t xml:space="preserve"> — one nominated point of contact per department, responsible for local implementation of controls and awareness follow-through. </w:t>
      </w:r>
    </w:p>
    <w:p w14:paraId="2E31AB2A" w14:textId="77777777" w:rsidR="00FC31F2" w:rsidRPr="0084455E" w:rsidRDefault="00FC31F2" w:rsidP="00FC31F2">
      <w:pPr>
        <w:rPr>
          <w:rFonts w:ascii="Times New Roman" w:hAnsi="Times New Roman" w:cs="Times New Roman"/>
          <w:sz w:val="26"/>
          <w:szCs w:val="26"/>
        </w:rPr>
      </w:pPr>
      <w:r>
        <w:rPr>
          <w:rFonts w:ascii="Times New Roman" w:hAnsi="Times New Roman" w:cs="Times New Roman"/>
          <w:sz w:val="26"/>
          <w:szCs w:val="26"/>
        </w:rPr>
        <w:pict w14:anchorId="48CB1B3A">
          <v:rect id="_x0000_i1036" style="width:0;height:1.5pt" o:hralign="center" o:hrstd="t" o:hr="t" fillcolor="#a0a0a0" stroked="f"/>
        </w:pict>
      </w:r>
    </w:p>
    <w:p w14:paraId="428034BD"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10. Core Business Processes</w:t>
      </w:r>
    </w:p>
    <w:p w14:paraId="4B73FF44" w14:textId="77777777" w:rsidR="00FC31F2" w:rsidRPr="0084455E" w:rsidRDefault="00FC31F2" w:rsidP="00FC31F2">
      <w:pPr>
        <w:rPr>
          <w:rFonts w:ascii="Times New Roman" w:hAnsi="Times New Roman" w:cs="Times New Roman"/>
          <w:sz w:val="26"/>
          <w:szCs w:val="26"/>
        </w:rPr>
      </w:pPr>
      <w:r w:rsidRPr="0084455E">
        <w:rPr>
          <w:rFonts w:ascii="Times New Roman" w:hAnsi="Times New Roman" w:cs="Times New Roman"/>
          <w:sz w:val="26"/>
          <w:szCs w:val="26"/>
        </w:rPr>
        <w:t>The ISMS needs to wrap around processes that already exist, not invent new ones from nothing. The core processes in scope include:</w:t>
      </w:r>
    </w:p>
    <w:p w14:paraId="3C14ADEB"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Customer onboarding</w:t>
      </w:r>
      <w:r w:rsidRPr="0084455E">
        <w:rPr>
          <w:rFonts w:ascii="Times New Roman" w:hAnsi="Times New Roman" w:cs="Times New Roman"/>
          <w:sz w:val="26"/>
          <w:szCs w:val="26"/>
        </w:rPr>
        <w:t xml:space="preserve"> — from contract signature through environment provisioning, data migration, and go-live. </w:t>
      </w:r>
    </w:p>
    <w:p w14:paraId="0060DE87"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Patient data lifecycle</w:t>
      </w:r>
      <w:r w:rsidRPr="0084455E">
        <w:rPr>
          <w:rFonts w:ascii="Times New Roman" w:hAnsi="Times New Roman" w:cs="Times New Roman"/>
          <w:sz w:val="26"/>
          <w:szCs w:val="26"/>
        </w:rPr>
        <w:t xml:space="preserve"> — from data entry/capture at a customer facility, through storage in EHR-CORE, to eventual archival per each customer's retention policy. </w:t>
      </w:r>
    </w:p>
    <w:p w14:paraId="1F457F77"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Insurance claims processing</w:t>
      </w:r>
      <w:r w:rsidRPr="0084455E">
        <w:rPr>
          <w:rFonts w:ascii="Times New Roman" w:hAnsi="Times New Roman" w:cs="Times New Roman"/>
          <w:sz w:val="26"/>
          <w:szCs w:val="26"/>
        </w:rPr>
        <w:t xml:space="preserve"> — from claim initiation in CLAIMS-PLT through secure exchange with insurance partners. </w:t>
      </w:r>
    </w:p>
    <w:p w14:paraId="4837C855"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Software development lifecycle (SDLC)</w:t>
      </w:r>
      <w:r w:rsidRPr="0084455E">
        <w:rPr>
          <w:rFonts w:ascii="Times New Roman" w:hAnsi="Times New Roman" w:cs="Times New Roman"/>
          <w:sz w:val="26"/>
          <w:szCs w:val="26"/>
        </w:rPr>
        <w:t xml:space="preserve"> — code commit, review, CI/CD build, testing, and release, run by Engineering and DevSecOps. </w:t>
      </w:r>
    </w:p>
    <w:p w14:paraId="1F0D2D69"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Change management</w:t>
      </w:r>
      <w:r w:rsidRPr="0084455E">
        <w:rPr>
          <w:rFonts w:ascii="Times New Roman" w:hAnsi="Times New Roman" w:cs="Times New Roman"/>
          <w:sz w:val="26"/>
          <w:szCs w:val="26"/>
        </w:rPr>
        <w:t xml:space="preserve"> — planned changes to production infrastructure or the platforms themselves. </w:t>
      </w:r>
    </w:p>
    <w:p w14:paraId="5793E864"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Incident response</w:t>
      </w:r>
      <w:r w:rsidRPr="0084455E">
        <w:rPr>
          <w:rFonts w:ascii="Times New Roman" w:hAnsi="Times New Roman" w:cs="Times New Roman"/>
          <w:sz w:val="26"/>
          <w:szCs w:val="26"/>
        </w:rPr>
        <w:t xml:space="preserve"> — detection through resolution and post-incident review, spanning SOC, Engineering, and Information Security &amp; GRC. </w:t>
      </w:r>
    </w:p>
    <w:p w14:paraId="60471699"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Vendor onboarding and review</w:t>
      </w:r>
      <w:r w:rsidRPr="0084455E">
        <w:rPr>
          <w:rFonts w:ascii="Times New Roman" w:hAnsi="Times New Roman" w:cs="Times New Roman"/>
          <w:sz w:val="26"/>
          <w:szCs w:val="26"/>
        </w:rPr>
        <w:t xml:space="preserve"> — from vendor selection through periodic security reassessment, run by Procurement with Information Security &amp; GRC sign-off. </w:t>
      </w:r>
    </w:p>
    <w:p w14:paraId="223AD65B"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lastRenderedPageBreak/>
        <w:t>Employee joiner–mover–leaver</w:t>
      </w:r>
      <w:r w:rsidRPr="0084455E">
        <w:rPr>
          <w:rFonts w:ascii="Times New Roman" w:hAnsi="Times New Roman" w:cs="Times New Roman"/>
          <w:sz w:val="26"/>
          <w:szCs w:val="26"/>
        </w:rPr>
        <w:t xml:space="preserve"> — access provisioning, role changes, and deprovisioning, run by HR and IT Operations. </w:t>
      </w:r>
    </w:p>
    <w:p w14:paraId="463E34AE" w14:textId="77777777" w:rsidR="00FC31F2" w:rsidRPr="0084455E" w:rsidRDefault="00FC31F2" w:rsidP="00FC31F2">
      <w:pPr>
        <w:numPr>
          <w:ilvl w:val="0"/>
          <w:numId w:val="9"/>
        </w:numPr>
        <w:rPr>
          <w:rFonts w:ascii="Times New Roman" w:hAnsi="Times New Roman" w:cs="Times New Roman"/>
          <w:sz w:val="26"/>
          <w:szCs w:val="26"/>
        </w:rPr>
      </w:pPr>
      <w:r w:rsidRPr="0084455E">
        <w:rPr>
          <w:rFonts w:ascii="Times New Roman" w:hAnsi="Times New Roman" w:cs="Times New Roman"/>
          <w:b/>
          <w:bCs/>
          <w:sz w:val="26"/>
          <w:szCs w:val="26"/>
        </w:rPr>
        <w:t>Customer offboarding</w:t>
      </w:r>
      <w:r w:rsidRPr="0084455E">
        <w:rPr>
          <w:rFonts w:ascii="Times New Roman" w:hAnsi="Times New Roman" w:cs="Times New Roman"/>
          <w:sz w:val="26"/>
          <w:szCs w:val="26"/>
        </w:rPr>
        <w:t xml:space="preserve"> — contract termination, data export, and secure data deletion. </w:t>
      </w:r>
    </w:p>
    <w:p w14:paraId="5B77C5F6" w14:textId="77777777" w:rsidR="00FC31F2" w:rsidRPr="0084455E" w:rsidRDefault="00FC31F2" w:rsidP="00FC31F2">
      <w:pPr>
        <w:rPr>
          <w:rFonts w:ascii="Times New Roman" w:hAnsi="Times New Roman" w:cs="Times New Roman"/>
          <w:sz w:val="26"/>
          <w:szCs w:val="26"/>
        </w:rPr>
      </w:pPr>
      <w:r w:rsidRPr="0084455E">
        <w:rPr>
          <w:rFonts w:ascii="Times New Roman" w:hAnsi="Times New Roman" w:cs="Times New Roman"/>
          <w:sz w:val="26"/>
          <w:szCs w:val="26"/>
        </w:rPr>
        <w:t>Each of these will be reflected later as either a documented procedure (Phase 5 — Operation) or as context feeding the risk register (Phase 3 — Planning).</w:t>
      </w:r>
    </w:p>
    <w:p w14:paraId="1CF2448A" w14:textId="77777777" w:rsidR="00FC31F2" w:rsidRPr="0084455E" w:rsidRDefault="00FC31F2" w:rsidP="00FC31F2">
      <w:pPr>
        <w:rPr>
          <w:rFonts w:ascii="Times New Roman" w:hAnsi="Times New Roman" w:cs="Times New Roman"/>
          <w:sz w:val="26"/>
          <w:szCs w:val="26"/>
        </w:rPr>
      </w:pPr>
      <w:r>
        <w:rPr>
          <w:rFonts w:ascii="Times New Roman" w:hAnsi="Times New Roman" w:cs="Times New Roman"/>
          <w:sz w:val="26"/>
          <w:szCs w:val="26"/>
        </w:rPr>
        <w:pict w14:anchorId="32E06A65">
          <v:rect id="_x0000_i1037" style="width:0;height:1.5pt" o:hralign="center" o:hrstd="t" o:hr="t" fillcolor="#a0a0a0" stroked="f"/>
        </w:pict>
      </w:r>
    </w:p>
    <w:p w14:paraId="153C1144"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11. Technology Environment</w:t>
      </w:r>
    </w:p>
    <w:p w14:paraId="3C6F1AD8"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11.1 Infrastructure Overview</w:t>
      </w:r>
    </w:p>
    <w:p w14:paraId="0D65B2B4" w14:textId="77777777" w:rsidR="00FC31F2" w:rsidRPr="0084455E" w:rsidRDefault="00FC31F2" w:rsidP="00FC31F2">
      <w:pPr>
        <w:rPr>
          <w:rFonts w:ascii="Times New Roman" w:hAnsi="Times New Roman" w:cs="Times New Roman"/>
          <w:sz w:val="26"/>
          <w:szCs w:val="26"/>
        </w:rPr>
      </w:pPr>
      <w:proofErr w:type="spellStart"/>
      <w:r w:rsidRPr="0084455E">
        <w:rPr>
          <w:rFonts w:ascii="Times New Roman" w:hAnsi="Times New Roman" w:cs="Times New Roman"/>
          <w:sz w:val="26"/>
          <w:szCs w:val="26"/>
        </w:rPr>
        <w:t>MediSync</w:t>
      </w:r>
      <w:proofErr w:type="spellEnd"/>
      <w:r w:rsidRPr="0084455E">
        <w:rPr>
          <w:rFonts w:ascii="Times New Roman" w:hAnsi="Times New Roman" w:cs="Times New Roman"/>
          <w:sz w:val="26"/>
          <w:szCs w:val="26"/>
        </w:rPr>
        <w:t xml:space="preserve"> runs a hybrid cloud environment across two primary cloud providers, split largely along data-residency lines:</w:t>
      </w:r>
    </w:p>
    <w:p w14:paraId="11855BE4" w14:textId="77777777" w:rsidR="00FC31F2" w:rsidRPr="0084455E" w:rsidRDefault="00FC31F2" w:rsidP="00FC31F2">
      <w:pPr>
        <w:numPr>
          <w:ilvl w:val="0"/>
          <w:numId w:val="10"/>
        </w:numPr>
        <w:rPr>
          <w:rFonts w:ascii="Times New Roman" w:hAnsi="Times New Roman" w:cs="Times New Roman"/>
          <w:sz w:val="26"/>
          <w:szCs w:val="26"/>
        </w:rPr>
      </w:pPr>
      <w:r w:rsidRPr="0084455E">
        <w:rPr>
          <w:rFonts w:ascii="Times New Roman" w:hAnsi="Times New Roman" w:cs="Times New Roman"/>
          <w:b/>
          <w:bCs/>
          <w:sz w:val="26"/>
          <w:szCs w:val="26"/>
        </w:rPr>
        <w:t>AWS (ap-south-1, Mumbai)</w:t>
      </w:r>
      <w:r w:rsidRPr="0084455E">
        <w:rPr>
          <w:rFonts w:ascii="Times New Roman" w:hAnsi="Times New Roman" w:cs="Times New Roman"/>
          <w:sz w:val="26"/>
          <w:szCs w:val="26"/>
        </w:rPr>
        <w:t xml:space="preserve"> — primary hosting region for Indian customer data and the shared multi-tenant platform. </w:t>
      </w:r>
    </w:p>
    <w:p w14:paraId="4422EBA8" w14:textId="77777777" w:rsidR="00FC31F2" w:rsidRPr="0084455E" w:rsidRDefault="00FC31F2" w:rsidP="00FC31F2">
      <w:pPr>
        <w:numPr>
          <w:ilvl w:val="0"/>
          <w:numId w:val="10"/>
        </w:numPr>
        <w:rPr>
          <w:rFonts w:ascii="Times New Roman" w:hAnsi="Times New Roman" w:cs="Times New Roman"/>
          <w:sz w:val="26"/>
          <w:szCs w:val="26"/>
        </w:rPr>
      </w:pPr>
      <w:r w:rsidRPr="0084455E">
        <w:rPr>
          <w:rFonts w:ascii="Times New Roman" w:hAnsi="Times New Roman" w:cs="Times New Roman"/>
          <w:b/>
          <w:bCs/>
          <w:sz w:val="26"/>
          <w:szCs w:val="26"/>
        </w:rPr>
        <w:t>Microsoft Azure (UAE North)</w:t>
      </w:r>
      <w:r w:rsidRPr="0084455E">
        <w:rPr>
          <w:rFonts w:ascii="Times New Roman" w:hAnsi="Times New Roman" w:cs="Times New Roman"/>
          <w:sz w:val="26"/>
          <w:szCs w:val="26"/>
        </w:rPr>
        <w:t xml:space="preserve"> — primary hosting region for UAE customer data, used to meet regional data-residency expectations. </w:t>
      </w:r>
    </w:p>
    <w:p w14:paraId="0AB75DDB" w14:textId="77777777" w:rsidR="00FC31F2" w:rsidRPr="0084455E" w:rsidRDefault="00FC31F2" w:rsidP="00FC31F2">
      <w:pPr>
        <w:numPr>
          <w:ilvl w:val="0"/>
          <w:numId w:val="10"/>
        </w:numPr>
        <w:rPr>
          <w:rFonts w:ascii="Times New Roman" w:hAnsi="Times New Roman" w:cs="Times New Roman"/>
          <w:sz w:val="26"/>
          <w:szCs w:val="26"/>
        </w:rPr>
      </w:pPr>
      <w:r w:rsidRPr="0084455E">
        <w:rPr>
          <w:rFonts w:ascii="Times New Roman" w:hAnsi="Times New Roman" w:cs="Times New Roman"/>
          <w:sz w:val="26"/>
          <w:szCs w:val="26"/>
        </w:rPr>
        <w:t xml:space="preserve">Each region runs separated </w:t>
      </w:r>
      <w:r w:rsidRPr="0084455E">
        <w:rPr>
          <w:rFonts w:ascii="Times New Roman" w:hAnsi="Times New Roman" w:cs="Times New Roman"/>
          <w:b/>
          <w:bCs/>
          <w:sz w:val="26"/>
          <w:szCs w:val="26"/>
        </w:rPr>
        <w:t>Development, QA/Staging, and Production</w:t>
      </w:r>
      <w:r w:rsidRPr="0084455E">
        <w:rPr>
          <w:rFonts w:ascii="Times New Roman" w:hAnsi="Times New Roman" w:cs="Times New Roman"/>
          <w:sz w:val="26"/>
          <w:szCs w:val="26"/>
        </w:rPr>
        <w:t xml:space="preserve"> environments, with production isolated from lower environments at the network level. </w:t>
      </w:r>
    </w:p>
    <w:p w14:paraId="37985B86" w14:textId="77777777" w:rsidR="00FC31F2" w:rsidRPr="0084455E" w:rsidRDefault="00FC31F2" w:rsidP="00FC31F2">
      <w:pPr>
        <w:numPr>
          <w:ilvl w:val="0"/>
          <w:numId w:val="10"/>
        </w:numPr>
        <w:rPr>
          <w:rFonts w:ascii="Times New Roman" w:hAnsi="Times New Roman" w:cs="Times New Roman"/>
          <w:sz w:val="26"/>
          <w:szCs w:val="26"/>
        </w:rPr>
      </w:pPr>
      <w:r w:rsidRPr="0084455E">
        <w:rPr>
          <w:rFonts w:ascii="Times New Roman" w:hAnsi="Times New Roman" w:cs="Times New Roman"/>
          <w:sz w:val="26"/>
          <w:szCs w:val="26"/>
        </w:rPr>
        <w:t>The six dedicated (single-tenant) enterprise customers run in isolated VPC/</w:t>
      </w:r>
      <w:proofErr w:type="spellStart"/>
      <w:r w:rsidRPr="0084455E">
        <w:rPr>
          <w:rFonts w:ascii="Times New Roman" w:hAnsi="Times New Roman" w:cs="Times New Roman"/>
          <w:sz w:val="26"/>
          <w:szCs w:val="26"/>
        </w:rPr>
        <w:t>VNet</w:t>
      </w:r>
      <w:proofErr w:type="spellEnd"/>
      <w:r w:rsidRPr="0084455E">
        <w:rPr>
          <w:rFonts w:ascii="Times New Roman" w:hAnsi="Times New Roman" w:cs="Times New Roman"/>
          <w:sz w:val="26"/>
          <w:szCs w:val="26"/>
        </w:rPr>
        <w:t xml:space="preserve"> environments within the relevant regional cloud, separate from the shared multi-tenant platform. </w:t>
      </w:r>
    </w:p>
    <w:p w14:paraId="6AFBE9A9" w14:textId="77777777" w:rsidR="00FC31F2" w:rsidRPr="0084455E" w:rsidRDefault="00FC31F2" w:rsidP="00FC31F2">
      <w:pPr>
        <w:rPr>
          <w:rFonts w:ascii="Times New Roman" w:hAnsi="Times New Roman" w:cs="Times New Roman"/>
          <w:sz w:val="26"/>
          <w:szCs w:val="26"/>
        </w:rPr>
      </w:pPr>
      <w:r>
        <w:rPr>
          <w:rFonts w:ascii="Times New Roman" w:hAnsi="Times New Roman" w:cs="Times New Roman"/>
          <w:sz w:val="26"/>
          <w:szCs w:val="26"/>
        </w:rPr>
        <w:pict w14:anchorId="665E74DD">
          <v:rect id="_x0000_i1038" style="width:0;height:1.5pt" o:hralign="center" o:hrstd="t" o:hr="t" fillcolor="#a0a0a0" stroked="f"/>
        </w:pict>
      </w:r>
    </w:p>
    <w:p w14:paraId="5D3FEB42"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11.2 Cloud Architecture (high level)</w:t>
      </w:r>
    </w:p>
    <w:p w14:paraId="78312E58"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sz w:val="26"/>
          <w:szCs w:val="26"/>
        </w:rPr>
        <w:t xml:space="preserve">Network segmentation follows a tiered model: public-facing edge (API Gateway, load balancers) → application tier → data tier, with the data tier not directly reachable from the public internet. </w:t>
      </w:r>
    </w:p>
    <w:p w14:paraId="11CBF157"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b/>
          <w:bCs/>
          <w:sz w:val="26"/>
          <w:szCs w:val="26"/>
        </w:rPr>
        <w:t>Secure API Gateway</w:t>
      </w:r>
      <w:r w:rsidRPr="0084455E">
        <w:rPr>
          <w:rFonts w:ascii="Times New Roman" w:hAnsi="Times New Roman" w:cs="Times New Roman"/>
          <w:sz w:val="26"/>
          <w:szCs w:val="26"/>
        </w:rPr>
        <w:t xml:space="preserve"> brokers all external and inter-service traffic, including partner integrations (labs, pharmacies, insurers). </w:t>
      </w:r>
    </w:p>
    <w:p w14:paraId="57F64463"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b/>
          <w:bCs/>
          <w:sz w:val="26"/>
          <w:szCs w:val="26"/>
        </w:rPr>
        <w:t>Kubernetes/Docker</w:t>
      </w:r>
      <w:r w:rsidRPr="0084455E">
        <w:rPr>
          <w:rFonts w:ascii="Times New Roman" w:hAnsi="Times New Roman" w:cs="Times New Roman"/>
          <w:sz w:val="26"/>
          <w:szCs w:val="26"/>
        </w:rPr>
        <w:t xml:space="preserve"> run the containerized application tier across both cloud regions. </w:t>
      </w:r>
    </w:p>
    <w:p w14:paraId="1DAA6322"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b/>
          <w:bCs/>
          <w:sz w:val="26"/>
          <w:szCs w:val="26"/>
        </w:rPr>
        <w:t>PostgreSQL</w:t>
      </w:r>
      <w:r w:rsidRPr="0084455E">
        <w:rPr>
          <w:rFonts w:ascii="Times New Roman" w:hAnsi="Times New Roman" w:cs="Times New Roman"/>
          <w:sz w:val="26"/>
          <w:szCs w:val="26"/>
        </w:rPr>
        <w:t xml:space="preserve"> is the primary database engine for clinical and transactional data, deployed per-region to keep India and UAE data physically separated. </w:t>
      </w:r>
    </w:p>
    <w:p w14:paraId="2CA9C8AC"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b/>
          <w:bCs/>
          <w:sz w:val="26"/>
          <w:szCs w:val="26"/>
        </w:rPr>
        <w:t>Centralized backup infrastructure</w:t>
      </w:r>
      <w:r w:rsidRPr="0084455E">
        <w:rPr>
          <w:rFonts w:ascii="Times New Roman" w:hAnsi="Times New Roman" w:cs="Times New Roman"/>
          <w:sz w:val="26"/>
          <w:szCs w:val="26"/>
        </w:rPr>
        <w:t xml:space="preserve">, region-aware, so India backups stay in India and UAE backups stay in UAE. </w:t>
      </w:r>
    </w:p>
    <w:p w14:paraId="0884469B" w14:textId="77777777" w:rsidR="00FC31F2" w:rsidRPr="0084455E" w:rsidRDefault="00FC31F2" w:rsidP="00FC31F2">
      <w:pPr>
        <w:numPr>
          <w:ilvl w:val="0"/>
          <w:numId w:val="11"/>
        </w:numPr>
        <w:rPr>
          <w:rFonts w:ascii="Times New Roman" w:hAnsi="Times New Roman" w:cs="Times New Roman"/>
          <w:sz w:val="26"/>
          <w:szCs w:val="26"/>
        </w:rPr>
      </w:pPr>
      <w:r w:rsidRPr="0084455E">
        <w:rPr>
          <w:rFonts w:ascii="Times New Roman" w:hAnsi="Times New Roman" w:cs="Times New Roman"/>
          <w:sz w:val="26"/>
          <w:szCs w:val="26"/>
        </w:rPr>
        <w:lastRenderedPageBreak/>
        <w:t xml:space="preserve">Data is encrypted at rest and in transit throughout. </w:t>
      </w:r>
    </w:p>
    <w:p w14:paraId="55954CCC" w14:textId="77777777" w:rsidR="00FC31F2" w:rsidRPr="0084455E" w:rsidRDefault="00FC31F2" w:rsidP="00FC31F2">
      <w:pPr>
        <w:rPr>
          <w:rFonts w:ascii="Times New Roman" w:hAnsi="Times New Roman" w:cs="Times New Roman"/>
          <w:sz w:val="26"/>
          <w:szCs w:val="26"/>
        </w:rPr>
      </w:pPr>
      <w:r>
        <w:rPr>
          <w:rFonts w:ascii="Times New Roman" w:hAnsi="Times New Roman" w:cs="Times New Roman"/>
          <w:sz w:val="26"/>
          <w:szCs w:val="26"/>
        </w:rPr>
        <w:pict w14:anchorId="50B629C3">
          <v:rect id="_x0000_i1039" style="width:0;height:1.5pt" o:hralign="center" o:hrstd="t" o:hr="t" fillcolor="#a0a0a0" stroked="f"/>
        </w:pict>
      </w:r>
    </w:p>
    <w:p w14:paraId="5BB0198E"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11.3 Identity, Access, and Monitoring</w:t>
      </w:r>
    </w:p>
    <w:p w14:paraId="0DD14890" w14:textId="77777777" w:rsidR="00FC31F2" w:rsidRPr="0084455E" w:rsidRDefault="00FC31F2" w:rsidP="00FC31F2">
      <w:pPr>
        <w:numPr>
          <w:ilvl w:val="0"/>
          <w:numId w:val="12"/>
        </w:numPr>
        <w:rPr>
          <w:rFonts w:ascii="Times New Roman" w:hAnsi="Times New Roman" w:cs="Times New Roman"/>
          <w:sz w:val="26"/>
          <w:szCs w:val="26"/>
        </w:rPr>
      </w:pPr>
      <w:r w:rsidRPr="0084455E">
        <w:rPr>
          <w:rFonts w:ascii="Times New Roman" w:hAnsi="Times New Roman" w:cs="Times New Roman"/>
          <w:b/>
          <w:bCs/>
          <w:sz w:val="26"/>
          <w:szCs w:val="26"/>
        </w:rPr>
        <w:t>Microsoft Entra ID</w:t>
      </w:r>
      <w:r w:rsidRPr="0084455E">
        <w:rPr>
          <w:rFonts w:ascii="Times New Roman" w:hAnsi="Times New Roman" w:cs="Times New Roman"/>
          <w:sz w:val="26"/>
          <w:szCs w:val="26"/>
        </w:rPr>
        <w:t xml:space="preserve"> is the central identity provider for employees; </w:t>
      </w:r>
      <w:r w:rsidRPr="0084455E">
        <w:rPr>
          <w:rFonts w:ascii="Times New Roman" w:hAnsi="Times New Roman" w:cs="Times New Roman"/>
          <w:b/>
          <w:bCs/>
          <w:sz w:val="26"/>
          <w:szCs w:val="26"/>
        </w:rPr>
        <w:t>Multi-Factor Authentication (MFA)</w:t>
      </w:r>
      <w:r w:rsidRPr="0084455E">
        <w:rPr>
          <w:rFonts w:ascii="Times New Roman" w:hAnsi="Times New Roman" w:cs="Times New Roman"/>
          <w:sz w:val="26"/>
          <w:szCs w:val="26"/>
        </w:rPr>
        <w:t xml:space="preserve"> is required for all administrative and remote access. </w:t>
      </w:r>
    </w:p>
    <w:p w14:paraId="30D965F9" w14:textId="77777777" w:rsidR="00FC31F2" w:rsidRPr="0084455E" w:rsidRDefault="00FC31F2" w:rsidP="00FC31F2">
      <w:pPr>
        <w:numPr>
          <w:ilvl w:val="0"/>
          <w:numId w:val="12"/>
        </w:numPr>
        <w:rPr>
          <w:rFonts w:ascii="Times New Roman" w:hAnsi="Times New Roman" w:cs="Times New Roman"/>
          <w:sz w:val="26"/>
          <w:szCs w:val="26"/>
        </w:rPr>
      </w:pPr>
      <w:r w:rsidRPr="0084455E">
        <w:rPr>
          <w:rFonts w:ascii="Times New Roman" w:hAnsi="Times New Roman" w:cs="Times New Roman"/>
          <w:b/>
          <w:bCs/>
          <w:sz w:val="26"/>
          <w:szCs w:val="26"/>
        </w:rPr>
        <w:t>VPN</w:t>
      </w:r>
      <w:r w:rsidRPr="0084455E">
        <w:rPr>
          <w:rFonts w:ascii="Times New Roman" w:hAnsi="Times New Roman" w:cs="Times New Roman"/>
          <w:sz w:val="26"/>
          <w:szCs w:val="26"/>
        </w:rPr>
        <w:t xml:space="preserve"> required for administrative access to production environments. </w:t>
      </w:r>
    </w:p>
    <w:p w14:paraId="1F29DB00" w14:textId="77777777" w:rsidR="00FC31F2" w:rsidRPr="0084455E" w:rsidRDefault="00FC31F2" w:rsidP="00FC31F2">
      <w:pPr>
        <w:numPr>
          <w:ilvl w:val="0"/>
          <w:numId w:val="12"/>
        </w:numPr>
        <w:rPr>
          <w:rFonts w:ascii="Times New Roman" w:hAnsi="Times New Roman" w:cs="Times New Roman"/>
          <w:sz w:val="26"/>
          <w:szCs w:val="26"/>
        </w:rPr>
      </w:pPr>
      <w:r w:rsidRPr="0084455E">
        <w:rPr>
          <w:rFonts w:ascii="Times New Roman" w:hAnsi="Times New Roman" w:cs="Times New Roman"/>
          <w:b/>
          <w:bCs/>
          <w:sz w:val="26"/>
          <w:szCs w:val="26"/>
        </w:rPr>
        <w:t>Endpoint Detection &amp; Response (EDR)</w:t>
      </w:r>
      <w:r w:rsidRPr="0084455E">
        <w:rPr>
          <w:rFonts w:ascii="Times New Roman" w:hAnsi="Times New Roman" w:cs="Times New Roman"/>
          <w:sz w:val="26"/>
          <w:szCs w:val="26"/>
        </w:rPr>
        <w:t xml:space="preserve"> deployed on corporate endpoints. </w:t>
      </w:r>
    </w:p>
    <w:p w14:paraId="23C344CD" w14:textId="77777777" w:rsidR="00FC31F2" w:rsidRPr="0084455E" w:rsidRDefault="00FC31F2" w:rsidP="00FC31F2">
      <w:pPr>
        <w:numPr>
          <w:ilvl w:val="0"/>
          <w:numId w:val="12"/>
        </w:numPr>
        <w:rPr>
          <w:rFonts w:ascii="Times New Roman" w:hAnsi="Times New Roman" w:cs="Times New Roman"/>
          <w:sz w:val="26"/>
          <w:szCs w:val="26"/>
        </w:rPr>
      </w:pPr>
      <w:r w:rsidRPr="0084455E">
        <w:rPr>
          <w:rFonts w:ascii="Times New Roman" w:hAnsi="Times New Roman" w:cs="Times New Roman"/>
          <w:b/>
          <w:bCs/>
          <w:sz w:val="26"/>
          <w:szCs w:val="26"/>
        </w:rPr>
        <w:t>Security Information and Event Management (SIEM)</w:t>
      </w:r>
      <w:r w:rsidRPr="0084455E">
        <w:rPr>
          <w:rFonts w:ascii="Times New Roman" w:hAnsi="Times New Roman" w:cs="Times New Roman"/>
          <w:sz w:val="26"/>
          <w:szCs w:val="26"/>
        </w:rPr>
        <w:t xml:space="preserve"> aggregates logs from cloud infrastructure, applications, and endpoints, monitored by the SOC. </w:t>
      </w:r>
    </w:p>
    <w:p w14:paraId="15332FFC" w14:textId="77777777" w:rsidR="00FC31F2" w:rsidRPr="0084455E" w:rsidRDefault="00FC31F2" w:rsidP="00FC31F2">
      <w:pPr>
        <w:numPr>
          <w:ilvl w:val="0"/>
          <w:numId w:val="12"/>
        </w:numPr>
        <w:rPr>
          <w:rFonts w:ascii="Times New Roman" w:hAnsi="Times New Roman" w:cs="Times New Roman"/>
          <w:sz w:val="26"/>
          <w:szCs w:val="26"/>
        </w:rPr>
      </w:pPr>
      <w:r w:rsidRPr="0084455E">
        <w:rPr>
          <w:rFonts w:ascii="Times New Roman" w:hAnsi="Times New Roman" w:cs="Times New Roman"/>
          <w:b/>
          <w:bCs/>
          <w:sz w:val="26"/>
          <w:szCs w:val="26"/>
        </w:rPr>
        <w:t>GitHub Enterprise</w:t>
      </w:r>
      <w:r w:rsidRPr="0084455E">
        <w:rPr>
          <w:rFonts w:ascii="Times New Roman" w:hAnsi="Times New Roman" w:cs="Times New Roman"/>
          <w:sz w:val="26"/>
          <w:szCs w:val="26"/>
        </w:rPr>
        <w:t xml:space="preserve"> hosts source code, with branch protection and mandatory code review on the main branches of all eight products. </w:t>
      </w:r>
    </w:p>
    <w:p w14:paraId="67C4A345" w14:textId="77777777" w:rsidR="00FC31F2" w:rsidRPr="0084455E" w:rsidRDefault="00FC31F2" w:rsidP="00FC31F2">
      <w:pPr>
        <w:rPr>
          <w:rFonts w:ascii="Times New Roman" w:hAnsi="Times New Roman" w:cs="Times New Roman"/>
          <w:sz w:val="26"/>
          <w:szCs w:val="26"/>
        </w:rPr>
      </w:pPr>
      <w:r>
        <w:rPr>
          <w:rFonts w:ascii="Times New Roman" w:hAnsi="Times New Roman" w:cs="Times New Roman"/>
          <w:sz w:val="26"/>
          <w:szCs w:val="26"/>
        </w:rPr>
        <w:pict w14:anchorId="776CF1C2">
          <v:rect id="_x0000_i1040" style="width:0;height:1.5pt" o:hralign="center" o:hrstd="t" o:hr="t" fillcolor="#a0a0a0" stroked="f"/>
        </w:pict>
      </w:r>
    </w:p>
    <w:p w14:paraId="7DB88E44"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12. Information Assets and Classification</w:t>
      </w:r>
    </w:p>
    <w:p w14:paraId="2C36BEBD" w14:textId="77777777" w:rsidR="00FC31F2" w:rsidRPr="0084455E" w:rsidRDefault="00FC31F2" w:rsidP="00FC31F2">
      <w:pPr>
        <w:rPr>
          <w:rFonts w:ascii="Times New Roman" w:hAnsi="Times New Roman" w:cs="Times New Roman"/>
          <w:b/>
          <w:bCs/>
          <w:sz w:val="26"/>
          <w:szCs w:val="26"/>
        </w:rPr>
      </w:pPr>
      <w:r w:rsidRPr="0084455E">
        <w:rPr>
          <w:rFonts w:ascii="Times New Roman" w:hAnsi="Times New Roman" w:cs="Times New Roman"/>
          <w:b/>
          <w:bCs/>
          <w:sz w:val="26"/>
          <w:szCs w:val="26"/>
        </w:rPr>
        <w:t>12.1 Classification Scheme</w:t>
      </w:r>
    </w:p>
    <w:p w14:paraId="4B403233" w14:textId="77777777" w:rsidR="00FC31F2" w:rsidRPr="0084455E" w:rsidRDefault="00FC31F2" w:rsidP="00FC31F2">
      <w:pPr>
        <w:rPr>
          <w:rFonts w:ascii="Times New Roman" w:hAnsi="Times New Roman" w:cs="Times New Roman"/>
          <w:sz w:val="26"/>
          <w:szCs w:val="26"/>
        </w:rPr>
      </w:pPr>
      <w:proofErr w:type="spellStart"/>
      <w:r w:rsidRPr="0084455E">
        <w:rPr>
          <w:rFonts w:ascii="Times New Roman" w:hAnsi="Times New Roman" w:cs="Times New Roman"/>
          <w:sz w:val="26"/>
          <w:szCs w:val="26"/>
        </w:rPr>
        <w:t>MediSync</w:t>
      </w:r>
      <w:proofErr w:type="spellEnd"/>
      <w:r w:rsidRPr="0084455E">
        <w:rPr>
          <w:rFonts w:ascii="Times New Roman" w:hAnsi="Times New Roman" w:cs="Times New Roman"/>
          <w:sz w:val="26"/>
          <w:szCs w:val="26"/>
        </w:rPr>
        <w:t xml:space="preserve"> will use a four-tier classification scheme, applied consistently across the asset register (Phase 3):</w:t>
      </w:r>
    </w:p>
    <w:tbl>
      <w:tblPr>
        <w:tblStyle w:val="TableGrid"/>
        <w:tblW w:w="0" w:type="auto"/>
        <w:tblInd w:w="-607" w:type="dxa"/>
        <w:tblLook w:val="04A0" w:firstRow="1" w:lastRow="0" w:firstColumn="1" w:lastColumn="0" w:noHBand="0" w:noVBand="1"/>
      </w:tblPr>
      <w:tblGrid>
        <w:gridCol w:w="1878"/>
        <w:gridCol w:w="4132"/>
        <w:gridCol w:w="3006"/>
      </w:tblGrid>
      <w:tr w:rsidR="00FC31F2" w14:paraId="598E8B97" w14:textId="77777777" w:rsidTr="006314D5">
        <w:tc>
          <w:tcPr>
            <w:tcW w:w="1878" w:type="dxa"/>
          </w:tcPr>
          <w:p w14:paraId="78D2AAB0"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LEVEL</w:t>
            </w:r>
          </w:p>
        </w:tc>
        <w:tc>
          <w:tcPr>
            <w:tcW w:w="4132" w:type="dxa"/>
          </w:tcPr>
          <w:p w14:paraId="44EB0BD0"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DEFINITION</w:t>
            </w:r>
          </w:p>
        </w:tc>
        <w:tc>
          <w:tcPr>
            <w:tcW w:w="3006" w:type="dxa"/>
          </w:tcPr>
          <w:p w14:paraId="0830F75E"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EXAMPLE</w:t>
            </w:r>
          </w:p>
        </w:tc>
      </w:tr>
      <w:tr w:rsidR="00FC31F2" w14:paraId="617932A4" w14:textId="77777777" w:rsidTr="006314D5">
        <w:tc>
          <w:tcPr>
            <w:tcW w:w="1878" w:type="dxa"/>
          </w:tcPr>
          <w:p w14:paraId="4C8E13C5"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Public</w:t>
            </w:r>
          </w:p>
        </w:tc>
        <w:tc>
          <w:tcPr>
            <w:tcW w:w="4132" w:type="dxa"/>
          </w:tcPr>
          <w:p w14:paraId="01994656"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No impact if disclosed</w:t>
            </w:r>
          </w:p>
        </w:tc>
        <w:tc>
          <w:tcPr>
            <w:tcW w:w="3006" w:type="dxa"/>
          </w:tcPr>
          <w:p w14:paraId="702BF594"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Marketing website content</w:t>
            </w:r>
          </w:p>
        </w:tc>
      </w:tr>
      <w:tr w:rsidR="00FC31F2" w14:paraId="51DAF2F0" w14:textId="77777777" w:rsidTr="006314D5">
        <w:tc>
          <w:tcPr>
            <w:tcW w:w="1878" w:type="dxa"/>
          </w:tcPr>
          <w:p w14:paraId="019896F9"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Internal</w:t>
            </w:r>
          </w:p>
        </w:tc>
        <w:tc>
          <w:tcPr>
            <w:tcW w:w="4132" w:type="dxa"/>
          </w:tcPr>
          <w:p w14:paraId="55E47651"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Limited impact; for employee use</w:t>
            </w:r>
          </w:p>
        </w:tc>
        <w:tc>
          <w:tcPr>
            <w:tcW w:w="3006" w:type="dxa"/>
          </w:tcPr>
          <w:p w14:paraId="389BF38B"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Internal process documentation</w:t>
            </w:r>
          </w:p>
        </w:tc>
      </w:tr>
      <w:tr w:rsidR="00FC31F2" w14:paraId="1E71481A" w14:textId="77777777" w:rsidTr="006314D5">
        <w:tc>
          <w:tcPr>
            <w:tcW w:w="1878" w:type="dxa"/>
          </w:tcPr>
          <w:p w14:paraId="57A6BA0D"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Confidential</w:t>
            </w:r>
          </w:p>
        </w:tc>
        <w:tc>
          <w:tcPr>
            <w:tcW w:w="4132" w:type="dxa"/>
          </w:tcPr>
          <w:p w14:paraId="323C6EE6"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Significant impact if disclosed; commercially or operationally sensitive</w:t>
            </w:r>
          </w:p>
        </w:tc>
        <w:tc>
          <w:tcPr>
            <w:tcW w:w="3006" w:type="dxa"/>
          </w:tcPr>
          <w:p w14:paraId="53772FCA"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Source code, vendor contracts</w:t>
            </w:r>
          </w:p>
        </w:tc>
      </w:tr>
      <w:tr w:rsidR="00FC31F2" w14:paraId="510BC5DA" w14:textId="77777777" w:rsidTr="006314D5">
        <w:tc>
          <w:tcPr>
            <w:tcW w:w="1878" w:type="dxa"/>
          </w:tcPr>
          <w:p w14:paraId="7AE7E09D"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4132" w:type="dxa"/>
          </w:tcPr>
          <w:p w14:paraId="2CA0D8B4"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Severe impact if disclosed, altered, or lost; includes all PHI/PII</w:t>
            </w:r>
          </w:p>
        </w:tc>
        <w:tc>
          <w:tcPr>
            <w:tcW w:w="3006" w:type="dxa"/>
          </w:tcPr>
          <w:p w14:paraId="31A639FF"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Patient health records, encryption keys</w:t>
            </w:r>
          </w:p>
        </w:tc>
      </w:tr>
    </w:tbl>
    <w:p w14:paraId="4BB20A58" w14:textId="77777777" w:rsidR="00FC31F2" w:rsidRDefault="00FC31F2" w:rsidP="00FC31F2">
      <w:pPr>
        <w:rPr>
          <w:rFonts w:ascii="Times New Roman" w:hAnsi="Times New Roman" w:cs="Times New Roman"/>
          <w:sz w:val="26"/>
          <w:szCs w:val="26"/>
        </w:rPr>
      </w:pPr>
    </w:p>
    <w:p w14:paraId="0843BD1F" w14:textId="77777777" w:rsidR="00FC31F2" w:rsidRDefault="00FC31F2" w:rsidP="00FC31F2">
      <w:pPr>
        <w:rPr>
          <w:rFonts w:ascii="Times New Roman" w:hAnsi="Times New Roman" w:cs="Times New Roman"/>
          <w:b/>
          <w:bCs/>
          <w:sz w:val="26"/>
          <w:szCs w:val="26"/>
        </w:rPr>
      </w:pPr>
      <w:r w:rsidRPr="00B56883">
        <w:rPr>
          <w:rFonts w:ascii="Times New Roman" w:hAnsi="Times New Roman" w:cs="Times New Roman"/>
          <w:b/>
          <w:bCs/>
          <w:sz w:val="26"/>
          <w:szCs w:val="26"/>
        </w:rPr>
        <w:t>12.2 Critical Information Assets (preview — full register built in Phase 3)</w:t>
      </w:r>
    </w:p>
    <w:tbl>
      <w:tblPr>
        <w:tblStyle w:val="TableGrid"/>
        <w:tblW w:w="9736" w:type="dxa"/>
        <w:tblInd w:w="-607" w:type="dxa"/>
        <w:tblLook w:val="04A0" w:firstRow="1" w:lastRow="0" w:firstColumn="1" w:lastColumn="0" w:noHBand="0" w:noVBand="1"/>
      </w:tblPr>
      <w:tblGrid>
        <w:gridCol w:w="4292"/>
        <w:gridCol w:w="2297"/>
        <w:gridCol w:w="3147"/>
      </w:tblGrid>
      <w:tr w:rsidR="00FC31F2" w14:paraId="5E3631EE" w14:textId="77777777" w:rsidTr="006314D5">
        <w:tc>
          <w:tcPr>
            <w:tcW w:w="4292" w:type="dxa"/>
          </w:tcPr>
          <w:p w14:paraId="29BAF800"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ASSET</w:t>
            </w:r>
          </w:p>
        </w:tc>
        <w:tc>
          <w:tcPr>
            <w:tcW w:w="2297" w:type="dxa"/>
          </w:tcPr>
          <w:p w14:paraId="04C8D226"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CLASSIFICATION</w:t>
            </w:r>
          </w:p>
        </w:tc>
        <w:tc>
          <w:tcPr>
            <w:tcW w:w="3147" w:type="dxa"/>
          </w:tcPr>
          <w:p w14:paraId="2732AD7C"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INDICATIVE CIA PRIORITY</w:t>
            </w:r>
          </w:p>
        </w:tc>
      </w:tr>
      <w:tr w:rsidR="00FC31F2" w14:paraId="015AD4E9" w14:textId="77777777" w:rsidTr="006314D5">
        <w:tc>
          <w:tcPr>
            <w:tcW w:w="4292" w:type="dxa"/>
          </w:tcPr>
          <w:p w14:paraId="60266707"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Patient Electronic Health Records (EHR-CORE database)</w:t>
            </w:r>
          </w:p>
        </w:tc>
        <w:tc>
          <w:tcPr>
            <w:tcW w:w="2297" w:type="dxa"/>
          </w:tcPr>
          <w:p w14:paraId="3C4B6324"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33272FA0"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High</w:t>
            </w:r>
          </w:p>
        </w:tc>
      </w:tr>
      <w:tr w:rsidR="00FC31F2" w14:paraId="1526BB9C" w14:textId="77777777" w:rsidTr="006314D5">
        <w:tc>
          <w:tcPr>
            <w:tcW w:w="4292" w:type="dxa"/>
          </w:tcPr>
          <w:p w14:paraId="14A6A293"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Personally Identifiable Information (across products)</w:t>
            </w:r>
          </w:p>
        </w:tc>
        <w:tc>
          <w:tcPr>
            <w:tcW w:w="2297" w:type="dxa"/>
          </w:tcPr>
          <w:p w14:paraId="57B79028"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3822410F"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Medium</w:t>
            </w:r>
          </w:p>
        </w:tc>
      </w:tr>
      <w:tr w:rsidR="00FC31F2" w14:paraId="2D22A250" w14:textId="77777777" w:rsidTr="006314D5">
        <w:tc>
          <w:tcPr>
            <w:tcW w:w="4292" w:type="dxa"/>
          </w:tcPr>
          <w:p w14:paraId="09F81D60"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Diagnostic reports (LAB-INT)</w:t>
            </w:r>
          </w:p>
        </w:tc>
        <w:tc>
          <w:tcPr>
            <w:tcW w:w="2297" w:type="dxa"/>
          </w:tcPr>
          <w:p w14:paraId="0E8BAD37"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1F80D972"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Medium</w:t>
            </w:r>
          </w:p>
        </w:tc>
      </w:tr>
      <w:tr w:rsidR="00FC31F2" w14:paraId="7CAF94AE" w14:textId="77777777" w:rsidTr="006314D5">
        <w:tc>
          <w:tcPr>
            <w:tcW w:w="4292" w:type="dxa"/>
          </w:tcPr>
          <w:p w14:paraId="24B99DDF"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lastRenderedPageBreak/>
              <w:t>Prescription records (PHARM-INT)</w:t>
            </w:r>
          </w:p>
        </w:tc>
        <w:tc>
          <w:tcPr>
            <w:tcW w:w="2297" w:type="dxa"/>
          </w:tcPr>
          <w:p w14:paraId="7FEA406F"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58B6ED04"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Medium</w:t>
            </w:r>
          </w:p>
        </w:tc>
      </w:tr>
      <w:tr w:rsidR="00FC31F2" w14:paraId="06E5F1E9" w14:textId="77777777" w:rsidTr="006314D5">
        <w:tc>
          <w:tcPr>
            <w:tcW w:w="4292" w:type="dxa"/>
          </w:tcPr>
          <w:p w14:paraId="76E7DC6E"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Insurance claims data (CLAIMS-PLT)</w:t>
            </w:r>
          </w:p>
        </w:tc>
        <w:tc>
          <w:tcPr>
            <w:tcW w:w="2297" w:type="dxa"/>
          </w:tcPr>
          <w:p w14:paraId="380066AA"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026F6798" w14:textId="77777777" w:rsidR="00FC31F2"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Medium</w:t>
            </w:r>
          </w:p>
        </w:tc>
      </w:tr>
      <w:tr w:rsidR="00FC31F2" w14:paraId="69BFAF68" w14:textId="77777777" w:rsidTr="006314D5">
        <w:tc>
          <w:tcPr>
            <w:tcW w:w="4292" w:type="dxa"/>
          </w:tcPr>
          <w:p w14:paraId="3E7E3A42"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Source code repositories (GitHub Enterprise)</w:t>
            </w:r>
          </w:p>
        </w:tc>
        <w:tc>
          <w:tcPr>
            <w:tcW w:w="2297" w:type="dxa"/>
          </w:tcPr>
          <w:p w14:paraId="0B8DD2CF"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Confidential</w:t>
            </w:r>
          </w:p>
        </w:tc>
        <w:tc>
          <w:tcPr>
            <w:tcW w:w="3147" w:type="dxa"/>
          </w:tcPr>
          <w:p w14:paraId="5ADCF569"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Medium</w:t>
            </w:r>
          </w:p>
        </w:tc>
      </w:tr>
      <w:tr w:rsidR="00FC31F2" w14:paraId="79D31898" w14:textId="77777777" w:rsidTr="006314D5">
        <w:tc>
          <w:tcPr>
            <w:tcW w:w="4292" w:type="dxa"/>
          </w:tcPr>
          <w:p w14:paraId="79B9290E"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API keys / encryption keys</w:t>
            </w:r>
          </w:p>
        </w:tc>
        <w:tc>
          <w:tcPr>
            <w:tcW w:w="2297" w:type="dxa"/>
          </w:tcPr>
          <w:p w14:paraId="4F68FD17"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09C230B4"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High</w:t>
            </w:r>
          </w:p>
        </w:tc>
      </w:tr>
      <w:tr w:rsidR="00FC31F2" w14:paraId="5582A7CC" w14:textId="77777777" w:rsidTr="006314D5">
        <w:tc>
          <w:tcPr>
            <w:tcW w:w="4292" w:type="dxa"/>
          </w:tcPr>
          <w:p w14:paraId="326369B1"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Audit logs (SIEM)</w:t>
            </w:r>
          </w:p>
        </w:tc>
        <w:tc>
          <w:tcPr>
            <w:tcW w:w="2297" w:type="dxa"/>
          </w:tcPr>
          <w:p w14:paraId="2ADA897D"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Confidential</w:t>
            </w:r>
          </w:p>
        </w:tc>
        <w:tc>
          <w:tcPr>
            <w:tcW w:w="3147" w:type="dxa"/>
          </w:tcPr>
          <w:p w14:paraId="1CD94040"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Medium · I: High · A: Medium</w:t>
            </w:r>
          </w:p>
        </w:tc>
      </w:tr>
      <w:tr w:rsidR="00FC31F2" w14:paraId="25BED1B9" w14:textId="77777777" w:rsidTr="006314D5">
        <w:tc>
          <w:tcPr>
            <w:tcW w:w="4292" w:type="dxa"/>
          </w:tcPr>
          <w:p w14:paraId="106C2111"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Employee records (HR systems)</w:t>
            </w:r>
          </w:p>
        </w:tc>
        <w:tc>
          <w:tcPr>
            <w:tcW w:w="2297" w:type="dxa"/>
          </w:tcPr>
          <w:p w14:paraId="1F3D487E"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0D12CFE9"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Medium · A: Low</w:t>
            </w:r>
          </w:p>
        </w:tc>
      </w:tr>
      <w:tr w:rsidR="00FC31F2" w14:paraId="07A73CF6" w14:textId="77777777" w:rsidTr="006314D5">
        <w:tc>
          <w:tcPr>
            <w:tcW w:w="4292" w:type="dxa"/>
          </w:tcPr>
          <w:p w14:paraId="248062E7"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Customer contracts</w:t>
            </w:r>
          </w:p>
        </w:tc>
        <w:tc>
          <w:tcPr>
            <w:tcW w:w="2297" w:type="dxa"/>
          </w:tcPr>
          <w:p w14:paraId="6C5EF056"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Confidential</w:t>
            </w:r>
          </w:p>
        </w:tc>
        <w:tc>
          <w:tcPr>
            <w:tcW w:w="3147" w:type="dxa"/>
          </w:tcPr>
          <w:p w14:paraId="11370AD5"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Medium · A: Low</w:t>
            </w:r>
          </w:p>
        </w:tc>
      </w:tr>
      <w:tr w:rsidR="00FC31F2" w14:paraId="632C9F4D" w14:textId="77777777" w:rsidTr="006314D5">
        <w:tc>
          <w:tcPr>
            <w:tcW w:w="4292" w:type="dxa"/>
          </w:tcPr>
          <w:p w14:paraId="35DA69F5"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Backup archives</w:t>
            </w:r>
          </w:p>
        </w:tc>
        <w:tc>
          <w:tcPr>
            <w:tcW w:w="2297" w:type="dxa"/>
          </w:tcPr>
          <w:p w14:paraId="171FA583"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Restricted</w:t>
            </w:r>
          </w:p>
        </w:tc>
        <w:tc>
          <w:tcPr>
            <w:tcW w:w="3147" w:type="dxa"/>
          </w:tcPr>
          <w:p w14:paraId="341D4D56" w14:textId="77777777" w:rsidR="00FC31F2" w:rsidRPr="00B56883" w:rsidRDefault="00FC31F2" w:rsidP="006314D5">
            <w:pPr>
              <w:ind w:left="0" w:firstLine="0"/>
              <w:rPr>
                <w:rFonts w:ascii="Times New Roman" w:hAnsi="Times New Roman" w:cs="Times New Roman"/>
                <w:sz w:val="26"/>
                <w:szCs w:val="26"/>
              </w:rPr>
            </w:pPr>
            <w:r w:rsidRPr="00B56883">
              <w:rPr>
                <w:rFonts w:ascii="Times New Roman" w:hAnsi="Times New Roman" w:cs="Times New Roman"/>
                <w:sz w:val="26"/>
                <w:szCs w:val="26"/>
              </w:rPr>
              <w:t>C: High · I: High · A: High</w:t>
            </w:r>
          </w:p>
        </w:tc>
      </w:tr>
    </w:tbl>
    <w:p w14:paraId="41E83C9E" w14:textId="77777777" w:rsidR="00FC31F2" w:rsidRDefault="00FC31F2" w:rsidP="00FC31F2">
      <w:pPr>
        <w:rPr>
          <w:rFonts w:ascii="Times New Roman" w:hAnsi="Times New Roman" w:cs="Times New Roman"/>
          <w:b/>
          <w:bCs/>
          <w:sz w:val="26"/>
          <w:szCs w:val="26"/>
        </w:rPr>
      </w:pPr>
    </w:p>
    <w:p w14:paraId="056A459B" w14:textId="77777777" w:rsidR="00FC31F2" w:rsidRPr="00B56883" w:rsidRDefault="00FC31F2" w:rsidP="00FC31F2">
      <w:pPr>
        <w:rPr>
          <w:rFonts w:ascii="Times New Roman" w:hAnsi="Times New Roman" w:cs="Times New Roman"/>
          <w:sz w:val="26"/>
          <w:szCs w:val="26"/>
        </w:rPr>
      </w:pPr>
      <w:r w:rsidRPr="00B56883">
        <w:rPr>
          <w:rFonts w:ascii="Times New Roman" w:hAnsi="Times New Roman" w:cs="Times New Roman"/>
          <w:sz w:val="26"/>
          <w:szCs w:val="26"/>
        </w:rPr>
        <w:t>This preview exists to ground the rest of the dossier — the full Information Asset Register, with owners, exact locations, and finalized ratings, is a Phase 3 deliverable.</w:t>
      </w:r>
    </w:p>
    <w:p w14:paraId="58FCF45E" w14:textId="77777777" w:rsidR="00FC31F2" w:rsidRPr="00B56883" w:rsidRDefault="00FC31F2" w:rsidP="00FC31F2">
      <w:pPr>
        <w:rPr>
          <w:rFonts w:ascii="Times New Roman" w:hAnsi="Times New Roman" w:cs="Times New Roman"/>
          <w:sz w:val="26"/>
          <w:szCs w:val="26"/>
        </w:rPr>
      </w:pPr>
      <w:r>
        <w:rPr>
          <w:rFonts w:ascii="Times New Roman" w:hAnsi="Times New Roman" w:cs="Times New Roman"/>
          <w:sz w:val="26"/>
          <w:szCs w:val="26"/>
        </w:rPr>
        <w:pict w14:anchorId="29838A1A">
          <v:rect id="_x0000_i1041" style="width:0;height:1.5pt" o:hralign="center" o:hrstd="t" o:hr="t" fillcolor="#a0a0a0" stroked="f"/>
        </w:pict>
      </w:r>
    </w:p>
    <w:p w14:paraId="7B37A8AA" w14:textId="77777777" w:rsidR="00FC31F2" w:rsidRPr="00B56883" w:rsidRDefault="00FC31F2" w:rsidP="00FC31F2">
      <w:pPr>
        <w:rPr>
          <w:rFonts w:ascii="Times New Roman" w:hAnsi="Times New Roman" w:cs="Times New Roman"/>
          <w:b/>
          <w:bCs/>
          <w:sz w:val="26"/>
          <w:szCs w:val="26"/>
        </w:rPr>
      </w:pPr>
      <w:r w:rsidRPr="00B56883">
        <w:rPr>
          <w:rFonts w:ascii="Times New Roman" w:hAnsi="Times New Roman" w:cs="Times New Roman"/>
          <w:b/>
          <w:bCs/>
          <w:sz w:val="26"/>
          <w:szCs w:val="26"/>
        </w:rPr>
        <w:t>13. Data Flow Overview</w:t>
      </w:r>
    </w:p>
    <w:p w14:paraId="214E7EE4" w14:textId="77777777" w:rsidR="00FC31F2" w:rsidRPr="00B56883" w:rsidRDefault="00FC31F2" w:rsidP="00FC31F2">
      <w:pPr>
        <w:rPr>
          <w:rFonts w:ascii="Times New Roman" w:hAnsi="Times New Roman" w:cs="Times New Roman"/>
          <w:sz w:val="26"/>
          <w:szCs w:val="26"/>
        </w:rPr>
      </w:pPr>
      <w:r w:rsidRPr="00B56883">
        <w:rPr>
          <w:rFonts w:ascii="Times New Roman" w:hAnsi="Times New Roman" w:cs="Times New Roman"/>
          <w:sz w:val="26"/>
          <w:szCs w:val="26"/>
        </w:rPr>
        <w:t>At a high level, the sensitive data that matters most to this ISMS — patient health data — moves through the platform roughly as follows:</w:t>
      </w:r>
    </w:p>
    <w:p w14:paraId="5B66B17D"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Capture</w:t>
      </w:r>
      <w:r w:rsidRPr="00B56883">
        <w:rPr>
          <w:rFonts w:ascii="Times New Roman" w:hAnsi="Times New Roman" w:cs="Times New Roman"/>
          <w:sz w:val="26"/>
          <w:szCs w:val="26"/>
        </w:rPr>
        <w:t xml:space="preserve"> — a patient's data is entered at a customer facility (hospital/clinic staff via HIS-CORE, or the patient directly via PAT-PORTAL). </w:t>
      </w:r>
    </w:p>
    <w:p w14:paraId="0DB3FF40"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Transit</w:t>
      </w:r>
      <w:r w:rsidRPr="00B56883">
        <w:rPr>
          <w:rFonts w:ascii="Times New Roman" w:hAnsi="Times New Roman" w:cs="Times New Roman"/>
          <w:sz w:val="26"/>
          <w:szCs w:val="26"/>
        </w:rPr>
        <w:t xml:space="preserve"> — data moves over encrypted channels through API-GW to the appropriate backend service. </w:t>
      </w:r>
    </w:p>
    <w:p w14:paraId="4D53F0DF"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Storage</w:t>
      </w:r>
      <w:r w:rsidRPr="00B56883">
        <w:rPr>
          <w:rFonts w:ascii="Times New Roman" w:hAnsi="Times New Roman" w:cs="Times New Roman"/>
          <w:sz w:val="26"/>
          <w:szCs w:val="26"/>
        </w:rPr>
        <w:t xml:space="preserve"> — clinical data lands in the regional PostgreSQL data tier (India or UAE, per the customer's location), inside EHR-CORE. </w:t>
      </w:r>
    </w:p>
    <w:p w14:paraId="284C84D0"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Downstream use</w:t>
      </w:r>
      <w:r w:rsidRPr="00B56883">
        <w:rPr>
          <w:rFonts w:ascii="Times New Roman" w:hAnsi="Times New Roman" w:cs="Times New Roman"/>
          <w:sz w:val="26"/>
          <w:szCs w:val="26"/>
        </w:rPr>
        <w:t xml:space="preserve"> — the same record may be referenced by LAB-INT (lab orders/results), PHARM-INT (prescriptions), CLAIMS-PLT (insurance claims extracts), or TELE-PLT (consultation history), each accessing only the fields relevant to its function. </w:t>
      </w:r>
    </w:p>
    <w:p w14:paraId="1A8FE553"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Backup</w:t>
      </w:r>
      <w:r w:rsidRPr="00B56883">
        <w:rPr>
          <w:rFonts w:ascii="Times New Roman" w:hAnsi="Times New Roman" w:cs="Times New Roman"/>
          <w:sz w:val="26"/>
          <w:szCs w:val="26"/>
        </w:rPr>
        <w:t xml:space="preserve"> — data is backed up within the same region it originated in, preserving data residency. </w:t>
      </w:r>
    </w:p>
    <w:p w14:paraId="1D5D58C0" w14:textId="77777777" w:rsidR="00FC31F2" w:rsidRPr="00B56883" w:rsidRDefault="00FC31F2" w:rsidP="00FC31F2">
      <w:pPr>
        <w:numPr>
          <w:ilvl w:val="0"/>
          <w:numId w:val="13"/>
        </w:numPr>
        <w:rPr>
          <w:rFonts w:ascii="Times New Roman" w:hAnsi="Times New Roman" w:cs="Times New Roman"/>
          <w:sz w:val="26"/>
          <w:szCs w:val="26"/>
        </w:rPr>
      </w:pPr>
      <w:r w:rsidRPr="00B56883">
        <w:rPr>
          <w:rFonts w:ascii="Times New Roman" w:hAnsi="Times New Roman" w:cs="Times New Roman"/>
          <w:b/>
          <w:bCs/>
          <w:sz w:val="26"/>
          <w:szCs w:val="26"/>
        </w:rPr>
        <w:t>Retention/Archival</w:t>
      </w:r>
      <w:r w:rsidRPr="00B56883">
        <w:rPr>
          <w:rFonts w:ascii="Times New Roman" w:hAnsi="Times New Roman" w:cs="Times New Roman"/>
          <w:sz w:val="26"/>
          <w:szCs w:val="26"/>
        </w:rPr>
        <w:t xml:space="preserve"> — data is retained per each customer's contracted retention period, after which it is archived or securely deleted per the customer's instruction. </w:t>
      </w:r>
    </w:p>
    <w:p w14:paraId="21228F0D" w14:textId="77777777" w:rsidR="00FC31F2" w:rsidRPr="00B56883" w:rsidRDefault="00FC31F2" w:rsidP="00FC31F2">
      <w:pPr>
        <w:rPr>
          <w:rFonts w:ascii="Times New Roman" w:hAnsi="Times New Roman" w:cs="Times New Roman"/>
          <w:sz w:val="26"/>
          <w:szCs w:val="26"/>
        </w:rPr>
      </w:pPr>
      <w:r w:rsidRPr="00B56883">
        <w:rPr>
          <w:rFonts w:ascii="Times New Roman" w:hAnsi="Times New Roman" w:cs="Times New Roman"/>
          <w:sz w:val="26"/>
          <w:szCs w:val="26"/>
        </w:rPr>
        <w:t xml:space="preserve">Cross-border movement is deliberately minimized: India-originated patient data stays in the India region, and UAE-originated patient data stays in the UAE region, including backups. </w:t>
      </w:r>
      <w:r w:rsidRPr="00B56883">
        <w:rPr>
          <w:rFonts w:ascii="Times New Roman" w:hAnsi="Times New Roman" w:cs="Times New Roman"/>
          <w:sz w:val="26"/>
          <w:szCs w:val="26"/>
        </w:rPr>
        <w:lastRenderedPageBreak/>
        <w:t>Any exception to this (e.g., a multinational hospital group requesting consolidated reporting) will be identified and risk-assessed explicitly in Phase 3 rather than assumed.</w:t>
      </w:r>
    </w:p>
    <w:p w14:paraId="45D69C45" w14:textId="77777777" w:rsidR="00FC31F2" w:rsidRPr="00B56883" w:rsidRDefault="00FC31F2" w:rsidP="00FC31F2">
      <w:pPr>
        <w:rPr>
          <w:rFonts w:ascii="Times New Roman" w:hAnsi="Times New Roman" w:cs="Times New Roman"/>
          <w:sz w:val="26"/>
          <w:szCs w:val="26"/>
        </w:rPr>
      </w:pPr>
      <w:r>
        <w:rPr>
          <w:rFonts w:ascii="Times New Roman" w:hAnsi="Times New Roman" w:cs="Times New Roman"/>
          <w:sz w:val="26"/>
          <w:szCs w:val="26"/>
        </w:rPr>
        <w:pict w14:anchorId="3655CD34">
          <v:rect id="_x0000_i1042" style="width:0;height:1.5pt" o:hralign="center" o:hrstd="t" o:hr="t" fillcolor="#a0a0a0" stroked="f"/>
        </w:pict>
      </w:r>
    </w:p>
    <w:p w14:paraId="5535E5E5" w14:textId="77777777" w:rsidR="00FC31F2" w:rsidRPr="00B56883" w:rsidRDefault="00FC31F2" w:rsidP="00FC31F2">
      <w:pPr>
        <w:rPr>
          <w:rFonts w:ascii="Times New Roman" w:hAnsi="Times New Roman" w:cs="Times New Roman"/>
          <w:b/>
          <w:bCs/>
          <w:sz w:val="26"/>
          <w:szCs w:val="26"/>
        </w:rPr>
      </w:pPr>
      <w:r w:rsidRPr="00B56883">
        <w:rPr>
          <w:rFonts w:ascii="Times New Roman" w:hAnsi="Times New Roman" w:cs="Times New Roman"/>
          <w:b/>
          <w:bCs/>
          <w:sz w:val="26"/>
          <w:szCs w:val="26"/>
        </w:rPr>
        <w:t>14. Third-Party Ecosystem</w:t>
      </w:r>
    </w:p>
    <w:p w14:paraId="0FC17270" w14:textId="77777777" w:rsidR="00FC31F2" w:rsidRPr="00B56883" w:rsidRDefault="00FC31F2" w:rsidP="00FC31F2">
      <w:pPr>
        <w:rPr>
          <w:rFonts w:ascii="Times New Roman" w:hAnsi="Times New Roman" w:cs="Times New Roman"/>
          <w:sz w:val="26"/>
          <w:szCs w:val="26"/>
        </w:rPr>
      </w:pPr>
      <w:r w:rsidRPr="00B56883">
        <w:rPr>
          <w:rFonts w:ascii="Times New Roman" w:hAnsi="Times New Roman" w:cs="Times New Roman"/>
          <w:sz w:val="26"/>
          <w:szCs w:val="26"/>
        </w:rPr>
        <w:t>All vendor names below are fictional, created for this simulation.</w:t>
      </w:r>
    </w:p>
    <w:tbl>
      <w:tblPr>
        <w:tblStyle w:val="TableGrid"/>
        <w:tblW w:w="9736" w:type="dxa"/>
        <w:tblInd w:w="-607" w:type="dxa"/>
        <w:tblLook w:val="04A0" w:firstRow="1" w:lastRow="0" w:firstColumn="1" w:lastColumn="0" w:noHBand="0" w:noVBand="1"/>
      </w:tblPr>
      <w:tblGrid>
        <w:gridCol w:w="3012"/>
        <w:gridCol w:w="3577"/>
        <w:gridCol w:w="3147"/>
      </w:tblGrid>
      <w:tr w:rsidR="00FC31F2" w14:paraId="4C13348F" w14:textId="77777777" w:rsidTr="006314D5">
        <w:tc>
          <w:tcPr>
            <w:tcW w:w="3012" w:type="dxa"/>
          </w:tcPr>
          <w:p w14:paraId="0B4FE9EA"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VENDOR (FICTIONAL)</w:t>
            </w:r>
          </w:p>
        </w:tc>
        <w:tc>
          <w:tcPr>
            <w:tcW w:w="3577" w:type="dxa"/>
          </w:tcPr>
          <w:p w14:paraId="13CD6477"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SERVICE PROVIDED</w:t>
            </w:r>
          </w:p>
        </w:tc>
        <w:tc>
          <w:tcPr>
            <w:tcW w:w="3147" w:type="dxa"/>
          </w:tcPr>
          <w:p w14:paraId="4993F462"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DATA/ACCESS EXPOSURE</w:t>
            </w:r>
          </w:p>
        </w:tc>
      </w:tr>
      <w:tr w:rsidR="00FC31F2" w14:paraId="6794CB01" w14:textId="77777777" w:rsidTr="006314D5">
        <w:tc>
          <w:tcPr>
            <w:tcW w:w="3012" w:type="dxa"/>
          </w:tcPr>
          <w:p w14:paraId="17D42D70" w14:textId="77777777" w:rsidR="00FC31F2"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SentinelWatch</w:t>
            </w:r>
            <w:proofErr w:type="spellEnd"/>
            <w:r w:rsidRPr="00657F3F">
              <w:rPr>
                <w:rFonts w:ascii="Times New Roman" w:hAnsi="Times New Roman" w:cs="Times New Roman"/>
                <w:sz w:val="26"/>
                <w:szCs w:val="26"/>
              </w:rPr>
              <w:t xml:space="preserve"> MSSP</w:t>
            </w:r>
          </w:p>
        </w:tc>
        <w:tc>
          <w:tcPr>
            <w:tcW w:w="3577" w:type="dxa"/>
          </w:tcPr>
          <w:p w14:paraId="41DFF336"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 xml:space="preserve">Managed Security Operations </w:t>
            </w:r>
            <w:proofErr w:type="spellStart"/>
            <w:r w:rsidRPr="00657F3F">
              <w:rPr>
                <w:rFonts w:ascii="Times New Roman" w:hAnsi="Times New Roman" w:cs="Times New Roman"/>
                <w:sz w:val="26"/>
                <w:szCs w:val="26"/>
              </w:rPr>
              <w:t>Center</w:t>
            </w:r>
            <w:proofErr w:type="spellEnd"/>
            <w:r w:rsidRPr="00657F3F">
              <w:rPr>
                <w:rFonts w:ascii="Times New Roman" w:hAnsi="Times New Roman" w:cs="Times New Roman"/>
                <w:sz w:val="26"/>
                <w:szCs w:val="26"/>
              </w:rPr>
              <w:t xml:space="preserve"> (co-managed with internal SOC)</w:t>
            </w:r>
          </w:p>
        </w:tc>
        <w:tc>
          <w:tcPr>
            <w:tcW w:w="3147" w:type="dxa"/>
          </w:tcPr>
          <w:p w14:paraId="47822A12"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SIEM data, security alerts</w:t>
            </w:r>
          </w:p>
        </w:tc>
      </w:tr>
      <w:tr w:rsidR="00FC31F2" w14:paraId="7A33F749" w14:textId="77777777" w:rsidTr="006314D5">
        <w:tc>
          <w:tcPr>
            <w:tcW w:w="3012" w:type="dxa"/>
          </w:tcPr>
          <w:p w14:paraId="523CD6BB" w14:textId="77777777" w:rsidR="00FC31F2"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PulseMail</w:t>
            </w:r>
            <w:proofErr w:type="spellEnd"/>
            <w:r w:rsidRPr="00657F3F">
              <w:rPr>
                <w:rFonts w:ascii="Times New Roman" w:hAnsi="Times New Roman" w:cs="Times New Roman"/>
                <w:sz w:val="26"/>
                <w:szCs w:val="26"/>
              </w:rPr>
              <w:t xml:space="preserve"> Communications</w:t>
            </w:r>
          </w:p>
        </w:tc>
        <w:tc>
          <w:tcPr>
            <w:tcW w:w="3577" w:type="dxa"/>
          </w:tcPr>
          <w:p w14:paraId="030696F5"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Email and SMS/notification gateway</w:t>
            </w:r>
          </w:p>
        </w:tc>
        <w:tc>
          <w:tcPr>
            <w:tcW w:w="3147" w:type="dxa"/>
          </w:tcPr>
          <w:p w14:paraId="2ED9F25F"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Patient/customer contact details, appointment notifications</w:t>
            </w:r>
          </w:p>
        </w:tc>
      </w:tr>
      <w:tr w:rsidR="00FC31F2" w14:paraId="4BAB30C6" w14:textId="77777777" w:rsidTr="006314D5">
        <w:tc>
          <w:tcPr>
            <w:tcW w:w="3012" w:type="dxa"/>
          </w:tcPr>
          <w:p w14:paraId="36A29505" w14:textId="77777777" w:rsidR="00FC31F2"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PayBridge</w:t>
            </w:r>
            <w:proofErr w:type="spellEnd"/>
            <w:r w:rsidRPr="00657F3F">
              <w:rPr>
                <w:rFonts w:ascii="Times New Roman" w:hAnsi="Times New Roman" w:cs="Times New Roman"/>
                <w:sz w:val="26"/>
                <w:szCs w:val="26"/>
              </w:rPr>
              <w:t xml:space="preserve"> Payments</w:t>
            </w:r>
          </w:p>
        </w:tc>
        <w:tc>
          <w:tcPr>
            <w:tcW w:w="3577" w:type="dxa"/>
          </w:tcPr>
          <w:p w14:paraId="163BB111"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Payment gateway for patient portal billing</w:t>
            </w:r>
          </w:p>
        </w:tc>
        <w:tc>
          <w:tcPr>
            <w:tcW w:w="3147" w:type="dxa"/>
          </w:tcPr>
          <w:p w14:paraId="0B04A143"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Payment references (not full card data — tokenized)</w:t>
            </w:r>
          </w:p>
        </w:tc>
      </w:tr>
      <w:tr w:rsidR="00FC31F2" w14:paraId="2E38BA59" w14:textId="77777777" w:rsidTr="006314D5">
        <w:tc>
          <w:tcPr>
            <w:tcW w:w="3012" w:type="dxa"/>
          </w:tcPr>
          <w:p w14:paraId="017B06EE" w14:textId="77777777" w:rsidR="00FC31F2"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VaultArchive</w:t>
            </w:r>
            <w:proofErr w:type="spellEnd"/>
            <w:r w:rsidRPr="00657F3F">
              <w:rPr>
                <w:rFonts w:ascii="Times New Roman" w:hAnsi="Times New Roman" w:cs="Times New Roman"/>
                <w:sz w:val="26"/>
                <w:szCs w:val="26"/>
              </w:rPr>
              <w:t xml:space="preserve"> DR Services</w:t>
            </w:r>
          </w:p>
        </w:tc>
        <w:tc>
          <w:tcPr>
            <w:tcW w:w="3577" w:type="dxa"/>
          </w:tcPr>
          <w:p w14:paraId="67C59A9F"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Backup and disaster-recovery support</w:t>
            </w:r>
          </w:p>
        </w:tc>
        <w:tc>
          <w:tcPr>
            <w:tcW w:w="3147" w:type="dxa"/>
          </w:tcPr>
          <w:p w14:paraId="22C9AE84"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Encrypted backup archives</w:t>
            </w:r>
          </w:p>
        </w:tc>
      </w:tr>
      <w:tr w:rsidR="00FC31F2" w14:paraId="75848869" w14:textId="77777777" w:rsidTr="006314D5">
        <w:tc>
          <w:tcPr>
            <w:tcW w:w="3012" w:type="dxa"/>
          </w:tcPr>
          <w:p w14:paraId="5151AB3E" w14:textId="77777777" w:rsidR="00FC31F2"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TrustID</w:t>
            </w:r>
            <w:proofErr w:type="spellEnd"/>
            <w:r w:rsidRPr="00657F3F">
              <w:rPr>
                <w:rFonts w:ascii="Times New Roman" w:hAnsi="Times New Roman" w:cs="Times New Roman"/>
                <w:sz w:val="26"/>
                <w:szCs w:val="26"/>
              </w:rPr>
              <w:t xml:space="preserve"> Solutions</w:t>
            </w:r>
          </w:p>
        </w:tc>
        <w:tc>
          <w:tcPr>
            <w:tcW w:w="3577" w:type="dxa"/>
          </w:tcPr>
          <w:p w14:paraId="45234B3B"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Identity verification for select UAE onboarding flows</w:t>
            </w:r>
          </w:p>
        </w:tc>
        <w:tc>
          <w:tcPr>
            <w:tcW w:w="3147" w:type="dxa"/>
          </w:tcPr>
          <w:p w14:paraId="7609EAE0"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Identity verification data</w:t>
            </w:r>
          </w:p>
        </w:tc>
      </w:tr>
      <w:tr w:rsidR="00FC31F2" w14:paraId="1EB5E6B7" w14:textId="77777777" w:rsidTr="006314D5">
        <w:tc>
          <w:tcPr>
            <w:tcW w:w="3012" w:type="dxa"/>
          </w:tcPr>
          <w:p w14:paraId="787219DB" w14:textId="77777777" w:rsidR="00FC31F2" w:rsidRPr="00B56883" w:rsidRDefault="00FC31F2" w:rsidP="006314D5">
            <w:pPr>
              <w:ind w:left="0" w:firstLine="0"/>
              <w:rPr>
                <w:rFonts w:ascii="Times New Roman" w:hAnsi="Times New Roman" w:cs="Times New Roman"/>
                <w:sz w:val="26"/>
                <w:szCs w:val="26"/>
              </w:rPr>
            </w:pPr>
            <w:proofErr w:type="spellStart"/>
            <w:r w:rsidRPr="00657F3F">
              <w:rPr>
                <w:rFonts w:ascii="Times New Roman" w:hAnsi="Times New Roman" w:cs="Times New Roman"/>
                <w:sz w:val="26"/>
                <w:szCs w:val="26"/>
              </w:rPr>
              <w:t>MedLink</w:t>
            </w:r>
            <w:proofErr w:type="spellEnd"/>
            <w:r w:rsidRPr="00657F3F">
              <w:rPr>
                <w:rFonts w:ascii="Times New Roman" w:hAnsi="Times New Roman" w:cs="Times New Roman"/>
                <w:sz w:val="26"/>
                <w:szCs w:val="26"/>
              </w:rPr>
              <w:t xml:space="preserve"> Gulf Integrators</w:t>
            </w:r>
          </w:p>
        </w:tc>
        <w:tc>
          <w:tcPr>
            <w:tcW w:w="3577" w:type="dxa"/>
          </w:tcPr>
          <w:p w14:paraId="4C56CE2F"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UAE healthcare system integration partner</w:t>
            </w:r>
          </w:p>
        </w:tc>
        <w:tc>
          <w:tcPr>
            <w:tcW w:w="3147" w:type="dxa"/>
          </w:tcPr>
          <w:p w14:paraId="3930C302"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Clinical data mapping for UAE customer integrations</w:t>
            </w:r>
          </w:p>
        </w:tc>
      </w:tr>
      <w:tr w:rsidR="00FC31F2" w14:paraId="18ED119C" w14:textId="77777777" w:rsidTr="006314D5">
        <w:tc>
          <w:tcPr>
            <w:tcW w:w="3012" w:type="dxa"/>
          </w:tcPr>
          <w:p w14:paraId="4360BCCB"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Meridian Assurance Partners</w:t>
            </w:r>
          </w:p>
        </w:tc>
        <w:tc>
          <w:tcPr>
            <w:tcW w:w="3577" w:type="dxa"/>
          </w:tcPr>
          <w:p w14:paraId="71378811"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External legal advisory (data protection matters)</w:t>
            </w:r>
          </w:p>
        </w:tc>
        <w:tc>
          <w:tcPr>
            <w:tcW w:w="3147" w:type="dxa"/>
          </w:tcPr>
          <w:p w14:paraId="7A6BE996"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Contract and compliance records</w:t>
            </w:r>
          </w:p>
        </w:tc>
      </w:tr>
      <w:tr w:rsidR="00FC31F2" w14:paraId="0619F3DB" w14:textId="77777777" w:rsidTr="006314D5">
        <w:tc>
          <w:tcPr>
            <w:tcW w:w="3012" w:type="dxa"/>
          </w:tcPr>
          <w:p w14:paraId="59C959B9"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Anchor &amp; Vance LLP</w:t>
            </w:r>
          </w:p>
        </w:tc>
        <w:tc>
          <w:tcPr>
            <w:tcW w:w="3577" w:type="dxa"/>
          </w:tcPr>
          <w:p w14:paraId="1C83F60F"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External legal counsel</w:t>
            </w:r>
          </w:p>
        </w:tc>
        <w:tc>
          <w:tcPr>
            <w:tcW w:w="3147" w:type="dxa"/>
          </w:tcPr>
          <w:p w14:paraId="0D836DDA" w14:textId="77777777" w:rsidR="00FC31F2" w:rsidRPr="00B56883"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Contract and compliance records</w:t>
            </w:r>
          </w:p>
        </w:tc>
      </w:tr>
    </w:tbl>
    <w:p w14:paraId="2CACB9C1" w14:textId="77777777" w:rsidR="00FC31F2" w:rsidRDefault="00FC31F2" w:rsidP="00FC31F2">
      <w:pPr>
        <w:rPr>
          <w:rFonts w:ascii="Times New Roman" w:hAnsi="Times New Roman" w:cs="Times New Roman"/>
          <w:sz w:val="26"/>
          <w:szCs w:val="26"/>
        </w:rPr>
      </w:pPr>
    </w:p>
    <w:p w14:paraId="795EE67E" w14:textId="77777777" w:rsidR="00FC31F2" w:rsidRPr="00657F3F" w:rsidRDefault="00FC31F2" w:rsidP="00FC31F2">
      <w:pPr>
        <w:rPr>
          <w:rFonts w:ascii="Times New Roman" w:hAnsi="Times New Roman" w:cs="Times New Roman"/>
          <w:sz w:val="26"/>
          <w:szCs w:val="26"/>
        </w:rPr>
      </w:pPr>
      <w:r w:rsidRPr="00657F3F">
        <w:rPr>
          <w:rFonts w:ascii="Times New Roman" w:hAnsi="Times New Roman" w:cs="Times New Roman"/>
          <w:sz w:val="26"/>
          <w:szCs w:val="26"/>
        </w:rPr>
        <w:t xml:space="preserve">These vendors will be formally assessed and tiered by criticality in the </w:t>
      </w:r>
      <w:r w:rsidRPr="00657F3F">
        <w:rPr>
          <w:rFonts w:ascii="Times New Roman" w:hAnsi="Times New Roman" w:cs="Times New Roman"/>
          <w:b/>
          <w:bCs/>
          <w:sz w:val="26"/>
          <w:szCs w:val="26"/>
        </w:rPr>
        <w:t>Supplier Register (Phase 5 — Operation)</w:t>
      </w:r>
      <w:r w:rsidRPr="00657F3F">
        <w:rPr>
          <w:rFonts w:ascii="Times New Roman" w:hAnsi="Times New Roman" w:cs="Times New Roman"/>
          <w:sz w:val="26"/>
          <w:szCs w:val="26"/>
        </w:rPr>
        <w:t>. The external certification body used in Phase 8–9 will be named separately in that phase's documentation and is not one of the vendors above.</w:t>
      </w:r>
    </w:p>
    <w:p w14:paraId="48BD779E" w14:textId="77777777" w:rsidR="00FC31F2" w:rsidRPr="00657F3F" w:rsidRDefault="00FC31F2" w:rsidP="00FC31F2">
      <w:pPr>
        <w:rPr>
          <w:rFonts w:ascii="Times New Roman" w:hAnsi="Times New Roman" w:cs="Times New Roman"/>
          <w:sz w:val="26"/>
          <w:szCs w:val="26"/>
        </w:rPr>
      </w:pPr>
      <w:r>
        <w:rPr>
          <w:rFonts w:ascii="Times New Roman" w:hAnsi="Times New Roman" w:cs="Times New Roman"/>
          <w:sz w:val="26"/>
          <w:szCs w:val="26"/>
        </w:rPr>
        <w:pict w14:anchorId="14AE21DB">
          <v:rect id="_x0000_i1043" style="width:0;height:1.5pt" o:hralign="center" o:hrstd="t" o:hr="t" fillcolor="#a0a0a0" stroked="f"/>
        </w:pict>
      </w:r>
    </w:p>
    <w:p w14:paraId="27A2CE61" w14:textId="77777777" w:rsidR="00FC31F2" w:rsidRPr="00657F3F" w:rsidRDefault="00FC31F2" w:rsidP="00FC31F2">
      <w:pPr>
        <w:rPr>
          <w:rFonts w:ascii="Times New Roman" w:hAnsi="Times New Roman" w:cs="Times New Roman"/>
          <w:b/>
          <w:bCs/>
          <w:sz w:val="26"/>
          <w:szCs w:val="26"/>
        </w:rPr>
      </w:pPr>
      <w:r w:rsidRPr="00657F3F">
        <w:rPr>
          <w:rFonts w:ascii="Times New Roman" w:hAnsi="Times New Roman" w:cs="Times New Roman"/>
          <w:b/>
          <w:bCs/>
          <w:sz w:val="26"/>
          <w:szCs w:val="26"/>
        </w:rPr>
        <w:t>15. Threat Landscape</w:t>
      </w:r>
    </w:p>
    <w:p w14:paraId="2BD41AE2" w14:textId="77777777" w:rsidR="00FC31F2" w:rsidRPr="00657F3F" w:rsidRDefault="00FC31F2" w:rsidP="00FC31F2">
      <w:pPr>
        <w:rPr>
          <w:rFonts w:ascii="Times New Roman" w:hAnsi="Times New Roman" w:cs="Times New Roman"/>
          <w:sz w:val="26"/>
          <w:szCs w:val="26"/>
        </w:rPr>
      </w:pPr>
      <w:r w:rsidRPr="00657F3F">
        <w:rPr>
          <w:rFonts w:ascii="Times New Roman" w:hAnsi="Times New Roman" w:cs="Times New Roman"/>
          <w:b/>
          <w:bCs/>
          <w:sz w:val="26"/>
          <w:szCs w:val="26"/>
        </w:rPr>
        <w:t xml:space="preserve">Threats considered relevant to </w:t>
      </w:r>
      <w:proofErr w:type="spellStart"/>
      <w:r w:rsidRPr="00657F3F">
        <w:rPr>
          <w:rFonts w:ascii="Times New Roman" w:hAnsi="Times New Roman" w:cs="Times New Roman"/>
          <w:b/>
          <w:bCs/>
          <w:sz w:val="26"/>
          <w:szCs w:val="26"/>
        </w:rPr>
        <w:t>MediSync's</w:t>
      </w:r>
      <w:proofErr w:type="spellEnd"/>
      <w:r w:rsidRPr="00657F3F">
        <w:rPr>
          <w:rFonts w:ascii="Times New Roman" w:hAnsi="Times New Roman" w:cs="Times New Roman"/>
          <w:b/>
          <w:bCs/>
          <w:sz w:val="26"/>
          <w:szCs w:val="26"/>
        </w:rPr>
        <w:t xml:space="preserve"> profile as a multi-region healthcare SaaS provider:</w:t>
      </w:r>
    </w:p>
    <w:p w14:paraId="03181A0F"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Ransomware targeting production or backup infrastructure </w:t>
      </w:r>
    </w:p>
    <w:p w14:paraId="4EAC6FA4"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Insider threats (privileged misuse, accidental data exposure) </w:t>
      </w:r>
    </w:p>
    <w:p w14:paraId="4843B747"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Credential theft and phishing </w:t>
      </w:r>
    </w:p>
    <w:p w14:paraId="68DB0152"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API abuse against the Healthcare API Gateway </w:t>
      </w:r>
    </w:p>
    <w:p w14:paraId="34CEA186"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Cloud misconfiguration (the storage-bucket near-miss is a live example) </w:t>
      </w:r>
    </w:p>
    <w:p w14:paraId="76175962"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lastRenderedPageBreak/>
        <w:t xml:space="preserve">Third-party/vendor breach </w:t>
      </w:r>
    </w:p>
    <w:p w14:paraId="78CCFE48"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Data leakage (accidental or intentional) </w:t>
      </w:r>
    </w:p>
    <w:p w14:paraId="6B440FC2"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Privilege escalation within cloud or application environments </w:t>
      </w:r>
    </w:p>
    <w:p w14:paraId="2D1D6C34"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Distributed Denial of Service (DDoS) against customer-facing services </w:t>
      </w:r>
    </w:p>
    <w:p w14:paraId="5CCCE1ED"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Malware on corporate or clinical-facility endpoints </w:t>
      </w:r>
    </w:p>
    <w:p w14:paraId="3B043589"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Supply-chain compromise (dependencies, CI/CD pipeline) </w:t>
      </w:r>
    </w:p>
    <w:p w14:paraId="2B86ACF3"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Lost or stolen devices </w:t>
      </w:r>
    </w:p>
    <w:p w14:paraId="68A5BA7F" w14:textId="77777777" w:rsidR="00FC31F2" w:rsidRPr="00657F3F" w:rsidRDefault="00FC31F2" w:rsidP="00FC31F2">
      <w:pPr>
        <w:numPr>
          <w:ilvl w:val="0"/>
          <w:numId w:val="14"/>
        </w:numPr>
        <w:rPr>
          <w:rFonts w:ascii="Times New Roman" w:hAnsi="Times New Roman" w:cs="Times New Roman"/>
          <w:sz w:val="26"/>
          <w:szCs w:val="26"/>
        </w:rPr>
      </w:pPr>
      <w:r w:rsidRPr="00657F3F">
        <w:rPr>
          <w:rFonts w:ascii="Times New Roman" w:hAnsi="Times New Roman" w:cs="Times New Roman"/>
          <w:sz w:val="26"/>
          <w:szCs w:val="26"/>
        </w:rPr>
        <w:t xml:space="preserve">Shadow IT (unsanctioned tools used by staff) </w:t>
      </w:r>
    </w:p>
    <w:p w14:paraId="38F07A45" w14:textId="77777777" w:rsidR="00FC31F2" w:rsidRPr="00657F3F" w:rsidRDefault="00FC31F2" w:rsidP="00FC31F2">
      <w:pPr>
        <w:rPr>
          <w:rFonts w:ascii="Times New Roman" w:hAnsi="Times New Roman" w:cs="Times New Roman"/>
          <w:sz w:val="26"/>
          <w:szCs w:val="26"/>
        </w:rPr>
      </w:pPr>
      <w:r w:rsidRPr="00657F3F">
        <w:rPr>
          <w:rFonts w:ascii="Times New Roman" w:hAnsi="Times New Roman" w:cs="Times New Roman"/>
          <w:sz w:val="26"/>
          <w:szCs w:val="26"/>
        </w:rPr>
        <w:t xml:space="preserve">This list feeds directly into the scenario-based half of the </w:t>
      </w:r>
      <w:r w:rsidRPr="00657F3F">
        <w:rPr>
          <w:rFonts w:ascii="Times New Roman" w:hAnsi="Times New Roman" w:cs="Times New Roman"/>
          <w:b/>
          <w:bCs/>
          <w:sz w:val="26"/>
          <w:szCs w:val="26"/>
        </w:rPr>
        <w:t>Phase 3 risk assessment</w:t>
      </w:r>
      <w:r w:rsidRPr="00657F3F">
        <w:rPr>
          <w:rFonts w:ascii="Times New Roman" w:hAnsi="Times New Roman" w:cs="Times New Roman"/>
          <w:sz w:val="26"/>
          <w:szCs w:val="26"/>
        </w:rPr>
        <w:t>.</w:t>
      </w:r>
    </w:p>
    <w:p w14:paraId="7C8F84A0" w14:textId="77777777" w:rsidR="00FC31F2" w:rsidRPr="00657F3F" w:rsidRDefault="00FC31F2" w:rsidP="00FC31F2">
      <w:pPr>
        <w:rPr>
          <w:rFonts w:ascii="Times New Roman" w:hAnsi="Times New Roman" w:cs="Times New Roman"/>
          <w:sz w:val="26"/>
          <w:szCs w:val="26"/>
        </w:rPr>
      </w:pPr>
      <w:r>
        <w:rPr>
          <w:rFonts w:ascii="Times New Roman" w:hAnsi="Times New Roman" w:cs="Times New Roman"/>
          <w:sz w:val="26"/>
          <w:szCs w:val="26"/>
        </w:rPr>
        <w:pict w14:anchorId="7755797D">
          <v:rect id="_x0000_i1044" style="width:0;height:1.5pt" o:hralign="center" o:hrstd="t" o:hr="t" fillcolor="#a0a0a0" stroked="f"/>
        </w:pict>
      </w:r>
    </w:p>
    <w:p w14:paraId="28DFECFB" w14:textId="77777777" w:rsidR="00FC31F2" w:rsidRPr="00657F3F" w:rsidRDefault="00FC31F2" w:rsidP="00FC31F2">
      <w:pPr>
        <w:rPr>
          <w:rFonts w:ascii="Times New Roman" w:hAnsi="Times New Roman" w:cs="Times New Roman"/>
          <w:b/>
          <w:bCs/>
          <w:sz w:val="26"/>
          <w:szCs w:val="26"/>
        </w:rPr>
      </w:pPr>
      <w:r w:rsidRPr="00657F3F">
        <w:rPr>
          <w:rFonts w:ascii="Times New Roman" w:hAnsi="Times New Roman" w:cs="Times New Roman"/>
          <w:b/>
          <w:bCs/>
          <w:sz w:val="26"/>
          <w:szCs w:val="26"/>
        </w:rPr>
        <w:t>16. Security Objectives</w:t>
      </w:r>
    </w:p>
    <w:tbl>
      <w:tblPr>
        <w:tblStyle w:val="TableGrid"/>
        <w:tblW w:w="9736" w:type="dxa"/>
        <w:tblInd w:w="-607" w:type="dxa"/>
        <w:tblLook w:val="04A0" w:firstRow="1" w:lastRow="0" w:firstColumn="1" w:lastColumn="0" w:noHBand="0" w:noVBand="1"/>
      </w:tblPr>
      <w:tblGrid>
        <w:gridCol w:w="3012"/>
        <w:gridCol w:w="3577"/>
        <w:gridCol w:w="3147"/>
      </w:tblGrid>
      <w:tr w:rsidR="00FC31F2" w14:paraId="7886D8E9" w14:textId="77777777" w:rsidTr="006314D5">
        <w:tc>
          <w:tcPr>
            <w:tcW w:w="3012" w:type="dxa"/>
          </w:tcPr>
          <w:p w14:paraId="31932097"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OBJECTIVE</w:t>
            </w:r>
          </w:p>
        </w:tc>
        <w:tc>
          <w:tcPr>
            <w:tcW w:w="3577" w:type="dxa"/>
          </w:tcPr>
          <w:p w14:paraId="74561EAA"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TARGET/METRIC</w:t>
            </w:r>
          </w:p>
        </w:tc>
        <w:tc>
          <w:tcPr>
            <w:tcW w:w="3147" w:type="dxa"/>
          </w:tcPr>
          <w:p w14:paraId="26E3497C"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REVIEW CADENCE</w:t>
            </w:r>
          </w:p>
        </w:tc>
      </w:tr>
      <w:tr w:rsidR="00FC31F2" w14:paraId="12DFB71E" w14:textId="77777777" w:rsidTr="006314D5">
        <w:tc>
          <w:tcPr>
            <w:tcW w:w="3012" w:type="dxa"/>
          </w:tcPr>
          <w:p w14:paraId="683C4BB1"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Protect confidentiality, integrity, and availability of patient data</w:t>
            </w:r>
          </w:p>
        </w:tc>
        <w:tc>
          <w:tcPr>
            <w:tcW w:w="3577" w:type="dxa"/>
          </w:tcPr>
          <w:p w14:paraId="6C30B89D"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Zero confirmed breaches of Restricted-classified data</w:t>
            </w:r>
          </w:p>
        </w:tc>
        <w:tc>
          <w:tcPr>
            <w:tcW w:w="3147" w:type="dxa"/>
          </w:tcPr>
          <w:p w14:paraId="24274DC8"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Quarterly (Steering Committee)</w:t>
            </w:r>
          </w:p>
        </w:tc>
      </w:tr>
      <w:tr w:rsidR="00FC31F2" w14:paraId="2064B604" w14:textId="77777777" w:rsidTr="006314D5">
        <w:tc>
          <w:tcPr>
            <w:tcW w:w="3012" w:type="dxa"/>
          </w:tcPr>
          <w:p w14:paraId="2B80BBFD"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Reduce organizational information security risk</w:t>
            </w:r>
          </w:p>
        </w:tc>
        <w:tc>
          <w:tcPr>
            <w:tcW w:w="3577" w:type="dxa"/>
          </w:tcPr>
          <w:p w14:paraId="04B89455"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90% of identified high risks under active treatment within 90 days of identification</w:t>
            </w:r>
          </w:p>
        </w:tc>
        <w:tc>
          <w:tcPr>
            <w:tcW w:w="3147" w:type="dxa"/>
          </w:tcPr>
          <w:p w14:paraId="381F35EE"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Quarterly</w:t>
            </w:r>
          </w:p>
        </w:tc>
      </w:tr>
      <w:tr w:rsidR="00FC31F2" w14:paraId="5DEFBE49" w14:textId="77777777" w:rsidTr="006314D5">
        <w:tc>
          <w:tcPr>
            <w:tcW w:w="3012" w:type="dxa"/>
          </w:tcPr>
          <w:p w14:paraId="52A78707"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Improve security governance</w:t>
            </w:r>
          </w:p>
        </w:tc>
        <w:tc>
          <w:tcPr>
            <w:tcW w:w="3577" w:type="dxa"/>
          </w:tcPr>
          <w:p w14:paraId="7FF3EDA2"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ISMS Steering Committee meets on schedule; 100% of management reviews documented</w:t>
            </w:r>
          </w:p>
        </w:tc>
        <w:tc>
          <w:tcPr>
            <w:tcW w:w="3147" w:type="dxa"/>
          </w:tcPr>
          <w:p w14:paraId="4BF054BD" w14:textId="77777777" w:rsidR="00FC31F2" w:rsidRDefault="00FC31F2" w:rsidP="006314D5">
            <w:pPr>
              <w:ind w:left="0" w:firstLine="0"/>
              <w:rPr>
                <w:rFonts w:ascii="Times New Roman" w:hAnsi="Times New Roman" w:cs="Times New Roman"/>
                <w:sz w:val="26"/>
                <w:szCs w:val="26"/>
              </w:rPr>
            </w:pPr>
            <w:r w:rsidRPr="00657F3F">
              <w:rPr>
                <w:rFonts w:ascii="Times New Roman" w:hAnsi="Times New Roman" w:cs="Times New Roman"/>
                <w:sz w:val="26"/>
                <w:szCs w:val="26"/>
              </w:rPr>
              <w:t>Quarterly</w:t>
            </w:r>
          </w:p>
        </w:tc>
      </w:tr>
      <w:tr w:rsidR="00FC31F2" w14:paraId="54A1B318" w14:textId="77777777" w:rsidTr="006314D5">
        <w:tc>
          <w:tcPr>
            <w:tcW w:w="3012" w:type="dxa"/>
          </w:tcPr>
          <w:p w14:paraId="5163D860"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Ensure legal and contractual compliance</w:t>
            </w:r>
          </w:p>
        </w:tc>
        <w:tc>
          <w:tcPr>
            <w:tcW w:w="3577" w:type="dxa"/>
          </w:tcPr>
          <w:p w14:paraId="7E70BD41"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Zero unresolved regulatory or contractual compliance gaps at each internal audit</w:t>
            </w:r>
          </w:p>
        </w:tc>
        <w:tc>
          <w:tcPr>
            <w:tcW w:w="3147" w:type="dxa"/>
          </w:tcPr>
          <w:p w14:paraId="46195369"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Annually / per audit cycle</w:t>
            </w:r>
          </w:p>
        </w:tc>
      </w:tr>
      <w:tr w:rsidR="00FC31F2" w14:paraId="1DF9EFBA" w14:textId="77777777" w:rsidTr="006314D5">
        <w:tc>
          <w:tcPr>
            <w:tcW w:w="3012" w:type="dxa"/>
          </w:tcPr>
          <w:p w14:paraId="5A60724A"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Strengthen customer confidence</w:t>
            </w:r>
          </w:p>
        </w:tc>
        <w:tc>
          <w:tcPr>
            <w:tcW w:w="3577" w:type="dxa"/>
          </w:tcPr>
          <w:p w14:paraId="410D612A"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Achieve ISO/IEC 27001:2022 certification</w:t>
            </w:r>
          </w:p>
        </w:tc>
        <w:tc>
          <w:tcPr>
            <w:tcW w:w="3147" w:type="dxa"/>
          </w:tcPr>
          <w:p w14:paraId="395571C2"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Project milestone (Phase 9)</w:t>
            </w:r>
          </w:p>
        </w:tc>
      </w:tr>
      <w:tr w:rsidR="00FC31F2" w14:paraId="46ECC198" w14:textId="77777777" w:rsidTr="006314D5">
        <w:tc>
          <w:tcPr>
            <w:tcW w:w="3012" w:type="dxa"/>
          </w:tcPr>
          <w:p w14:paraId="186E7AA7"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Improve incident response capability</w:t>
            </w:r>
          </w:p>
        </w:tc>
        <w:tc>
          <w:tcPr>
            <w:tcW w:w="3577" w:type="dxa"/>
          </w:tcPr>
          <w:p w14:paraId="61642877"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Incident response plan tested at least twice a year</w:t>
            </w:r>
          </w:p>
        </w:tc>
        <w:tc>
          <w:tcPr>
            <w:tcW w:w="3147" w:type="dxa"/>
          </w:tcPr>
          <w:p w14:paraId="5A71483A"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Semi-annually</w:t>
            </w:r>
          </w:p>
        </w:tc>
      </w:tr>
      <w:tr w:rsidR="00FC31F2" w14:paraId="0053023F" w14:textId="77777777" w:rsidTr="006314D5">
        <w:tc>
          <w:tcPr>
            <w:tcW w:w="3012" w:type="dxa"/>
          </w:tcPr>
          <w:p w14:paraId="03CBCCF9"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Enhance employee awareness</w:t>
            </w:r>
          </w:p>
        </w:tc>
        <w:tc>
          <w:tcPr>
            <w:tcW w:w="3577" w:type="dxa"/>
          </w:tcPr>
          <w:p w14:paraId="3C831D63"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95%+ completion of annual security awareness training</w:t>
            </w:r>
          </w:p>
        </w:tc>
        <w:tc>
          <w:tcPr>
            <w:tcW w:w="3147" w:type="dxa"/>
          </w:tcPr>
          <w:p w14:paraId="0D0B29E6"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Annually</w:t>
            </w:r>
          </w:p>
        </w:tc>
      </w:tr>
      <w:tr w:rsidR="00FC31F2" w14:paraId="53245C7E" w14:textId="77777777" w:rsidTr="006314D5">
        <w:tc>
          <w:tcPr>
            <w:tcW w:w="3012" w:type="dxa"/>
          </w:tcPr>
          <w:p w14:paraId="0B89EC61"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Establish continual improvement</w:t>
            </w:r>
          </w:p>
        </w:tc>
        <w:tc>
          <w:tcPr>
            <w:tcW w:w="3577" w:type="dxa"/>
          </w:tcPr>
          <w:p w14:paraId="453DEF46"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All internal audit findings closed within agreed corrective-action timelines</w:t>
            </w:r>
          </w:p>
        </w:tc>
        <w:tc>
          <w:tcPr>
            <w:tcW w:w="3147" w:type="dxa"/>
          </w:tcPr>
          <w:p w14:paraId="741134D2"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Ongoing</w:t>
            </w:r>
          </w:p>
        </w:tc>
      </w:tr>
    </w:tbl>
    <w:p w14:paraId="34FD1F85" w14:textId="77777777" w:rsidR="00FC31F2" w:rsidRDefault="00FC31F2" w:rsidP="00FC31F2">
      <w:pPr>
        <w:rPr>
          <w:rFonts w:ascii="Times New Roman" w:hAnsi="Times New Roman" w:cs="Times New Roman"/>
          <w:sz w:val="26"/>
          <w:szCs w:val="26"/>
        </w:rPr>
      </w:pPr>
    </w:p>
    <w:p w14:paraId="6DAF11AC"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17. Risk Appetite Statement</w:t>
      </w:r>
    </w:p>
    <w:p w14:paraId="7045E3F3"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Senior management defines </w:t>
      </w:r>
      <w:proofErr w:type="spellStart"/>
      <w:r w:rsidRPr="00A43DD5">
        <w:rPr>
          <w:rFonts w:ascii="Times New Roman" w:hAnsi="Times New Roman" w:cs="Times New Roman"/>
          <w:sz w:val="26"/>
          <w:szCs w:val="26"/>
        </w:rPr>
        <w:t>MediSync's</w:t>
      </w:r>
      <w:proofErr w:type="spellEnd"/>
      <w:r w:rsidRPr="00A43DD5">
        <w:rPr>
          <w:rFonts w:ascii="Times New Roman" w:hAnsi="Times New Roman" w:cs="Times New Roman"/>
          <w:sz w:val="26"/>
          <w:szCs w:val="26"/>
        </w:rPr>
        <w:t xml:space="preserve"> risk appetite as follows:</w:t>
      </w:r>
    </w:p>
    <w:p w14:paraId="4446D3D8" w14:textId="77777777" w:rsidR="00FC31F2" w:rsidRPr="00A43DD5" w:rsidRDefault="00FC31F2" w:rsidP="00FC31F2">
      <w:pPr>
        <w:numPr>
          <w:ilvl w:val="0"/>
          <w:numId w:val="15"/>
        </w:numPr>
        <w:rPr>
          <w:rFonts w:ascii="Times New Roman" w:hAnsi="Times New Roman" w:cs="Times New Roman"/>
          <w:sz w:val="26"/>
          <w:szCs w:val="26"/>
        </w:rPr>
      </w:pPr>
      <w:r w:rsidRPr="00A43DD5">
        <w:rPr>
          <w:rFonts w:ascii="Times New Roman" w:hAnsi="Times New Roman" w:cs="Times New Roman"/>
          <w:b/>
          <w:bCs/>
          <w:sz w:val="26"/>
          <w:szCs w:val="26"/>
        </w:rPr>
        <w:lastRenderedPageBreak/>
        <w:t>Low tolerance</w:t>
      </w:r>
      <w:r w:rsidRPr="00A43DD5">
        <w:rPr>
          <w:rFonts w:ascii="Times New Roman" w:hAnsi="Times New Roman" w:cs="Times New Roman"/>
          <w:sz w:val="26"/>
          <w:szCs w:val="26"/>
        </w:rPr>
        <w:t xml:space="preserve"> for risks affecting patient information — any risk rated High or above involving Restricted-classified data requires Steering Committee visibility and a documented treatment decision. </w:t>
      </w:r>
    </w:p>
    <w:p w14:paraId="6C39D4F7" w14:textId="77777777" w:rsidR="00FC31F2" w:rsidRPr="00A43DD5" w:rsidRDefault="00FC31F2" w:rsidP="00FC31F2">
      <w:pPr>
        <w:numPr>
          <w:ilvl w:val="0"/>
          <w:numId w:val="15"/>
        </w:numPr>
        <w:rPr>
          <w:rFonts w:ascii="Times New Roman" w:hAnsi="Times New Roman" w:cs="Times New Roman"/>
          <w:sz w:val="26"/>
          <w:szCs w:val="26"/>
        </w:rPr>
      </w:pPr>
      <w:r w:rsidRPr="00A43DD5">
        <w:rPr>
          <w:rFonts w:ascii="Times New Roman" w:hAnsi="Times New Roman" w:cs="Times New Roman"/>
          <w:b/>
          <w:bCs/>
          <w:sz w:val="26"/>
          <w:szCs w:val="26"/>
        </w:rPr>
        <w:t>Low tolerance</w:t>
      </w:r>
      <w:r w:rsidRPr="00A43DD5">
        <w:rPr>
          <w:rFonts w:ascii="Times New Roman" w:hAnsi="Times New Roman" w:cs="Times New Roman"/>
          <w:sz w:val="26"/>
          <w:szCs w:val="26"/>
        </w:rPr>
        <w:t xml:space="preserve"> for regulatory non-compliance under ISO 27001, the DPDP Act, or applicable UAE requirements. </w:t>
      </w:r>
    </w:p>
    <w:p w14:paraId="01ABFD39" w14:textId="77777777" w:rsidR="00FC31F2" w:rsidRPr="00A43DD5" w:rsidRDefault="00FC31F2" w:rsidP="00FC31F2">
      <w:pPr>
        <w:numPr>
          <w:ilvl w:val="0"/>
          <w:numId w:val="15"/>
        </w:numPr>
        <w:rPr>
          <w:rFonts w:ascii="Times New Roman" w:hAnsi="Times New Roman" w:cs="Times New Roman"/>
          <w:sz w:val="26"/>
          <w:szCs w:val="26"/>
        </w:rPr>
      </w:pPr>
      <w:r w:rsidRPr="00A43DD5">
        <w:rPr>
          <w:rFonts w:ascii="Times New Roman" w:hAnsi="Times New Roman" w:cs="Times New Roman"/>
          <w:b/>
          <w:bCs/>
          <w:sz w:val="26"/>
          <w:szCs w:val="26"/>
        </w:rPr>
        <w:t>Moderate tolerance</w:t>
      </w:r>
      <w:r w:rsidRPr="00A43DD5">
        <w:rPr>
          <w:rFonts w:ascii="Times New Roman" w:hAnsi="Times New Roman" w:cs="Times New Roman"/>
          <w:sz w:val="26"/>
          <w:szCs w:val="26"/>
        </w:rPr>
        <w:t xml:space="preserve"> for operational risk where effective mitigating controls already exist and residual risk is formally accepted. </w:t>
      </w:r>
    </w:p>
    <w:p w14:paraId="3E1E1FFD" w14:textId="77777777" w:rsidR="00FC31F2" w:rsidRPr="00A43DD5" w:rsidRDefault="00FC31F2" w:rsidP="00FC31F2">
      <w:pPr>
        <w:numPr>
          <w:ilvl w:val="0"/>
          <w:numId w:val="15"/>
        </w:numPr>
        <w:rPr>
          <w:rFonts w:ascii="Times New Roman" w:hAnsi="Times New Roman" w:cs="Times New Roman"/>
          <w:sz w:val="26"/>
          <w:szCs w:val="26"/>
        </w:rPr>
      </w:pPr>
      <w:r w:rsidRPr="00A43DD5">
        <w:rPr>
          <w:rFonts w:ascii="Times New Roman" w:hAnsi="Times New Roman" w:cs="Times New Roman"/>
          <w:b/>
          <w:bCs/>
          <w:sz w:val="26"/>
          <w:szCs w:val="26"/>
        </w:rPr>
        <w:t>Very low tolerance</w:t>
      </w:r>
      <w:r w:rsidRPr="00A43DD5">
        <w:rPr>
          <w:rFonts w:ascii="Times New Roman" w:hAnsi="Times New Roman" w:cs="Times New Roman"/>
          <w:sz w:val="26"/>
          <w:szCs w:val="26"/>
        </w:rPr>
        <w:t xml:space="preserve"> for risks tied to intentional insider misuse or external cyberattack against production systems. </w:t>
      </w:r>
    </w:p>
    <w:p w14:paraId="24BE142A" w14:textId="77777777" w:rsidR="00FC31F2" w:rsidRPr="00A43DD5" w:rsidRDefault="00FC31F2" w:rsidP="00FC31F2">
      <w:pPr>
        <w:numPr>
          <w:ilvl w:val="0"/>
          <w:numId w:val="15"/>
        </w:numPr>
        <w:rPr>
          <w:rFonts w:ascii="Times New Roman" w:hAnsi="Times New Roman" w:cs="Times New Roman"/>
          <w:sz w:val="26"/>
          <w:szCs w:val="26"/>
        </w:rPr>
      </w:pPr>
      <w:r w:rsidRPr="00A43DD5">
        <w:rPr>
          <w:rFonts w:ascii="Times New Roman" w:hAnsi="Times New Roman" w:cs="Times New Roman"/>
          <w:sz w:val="26"/>
          <w:szCs w:val="26"/>
        </w:rPr>
        <w:t xml:space="preserve">Residual risk may only be accepted following documented management approval — informal or verbal risk acceptance is not permitted once the ISMS is operational. </w:t>
      </w:r>
    </w:p>
    <w:p w14:paraId="2B186547"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2522B3B0">
          <v:rect id="_x0000_i1045" style="width:0;height:1.5pt" o:hralign="center" o:hrstd="t" o:hr="t" fillcolor="#a0a0a0" stroked="f"/>
        </w:pict>
      </w:r>
    </w:p>
    <w:p w14:paraId="61F21C59"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18. Current Security Maturity (Baseline)</w:t>
      </w:r>
    </w:p>
    <w:p w14:paraId="20366E15"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An informal baseline maturity view, scored </w:t>
      </w:r>
      <w:r w:rsidRPr="00A43DD5">
        <w:rPr>
          <w:rFonts w:ascii="Times New Roman" w:hAnsi="Times New Roman" w:cs="Times New Roman"/>
          <w:b/>
          <w:bCs/>
          <w:sz w:val="26"/>
          <w:szCs w:val="26"/>
        </w:rPr>
        <w:t>1 (ad hoc) to 5 (optimized)</w:t>
      </w:r>
      <w:r w:rsidRPr="00A43DD5">
        <w:rPr>
          <w:rFonts w:ascii="Times New Roman" w:hAnsi="Times New Roman" w:cs="Times New Roman"/>
          <w:sz w:val="26"/>
          <w:szCs w:val="26"/>
        </w:rPr>
        <w:t>, pending formal validation during the Phase 1 Gap Assessment:</w:t>
      </w:r>
    </w:p>
    <w:tbl>
      <w:tblPr>
        <w:tblStyle w:val="TableGrid"/>
        <w:tblW w:w="9736" w:type="dxa"/>
        <w:tblInd w:w="-607" w:type="dxa"/>
        <w:tblLook w:val="04A0" w:firstRow="1" w:lastRow="0" w:firstColumn="1" w:lastColumn="0" w:noHBand="0" w:noVBand="1"/>
      </w:tblPr>
      <w:tblGrid>
        <w:gridCol w:w="3012"/>
        <w:gridCol w:w="2410"/>
        <w:gridCol w:w="4314"/>
      </w:tblGrid>
      <w:tr w:rsidR="00FC31F2" w14:paraId="377453CF" w14:textId="77777777" w:rsidTr="006314D5">
        <w:tc>
          <w:tcPr>
            <w:tcW w:w="3012" w:type="dxa"/>
          </w:tcPr>
          <w:p w14:paraId="6329D6BF"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DOMAIN</w:t>
            </w:r>
          </w:p>
        </w:tc>
        <w:tc>
          <w:tcPr>
            <w:tcW w:w="2410" w:type="dxa"/>
          </w:tcPr>
          <w:p w14:paraId="5720434A"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BASELINE MATURITY</w:t>
            </w:r>
          </w:p>
        </w:tc>
        <w:tc>
          <w:tcPr>
            <w:tcW w:w="4314" w:type="dxa"/>
          </w:tcPr>
          <w:p w14:paraId="0BC248ED"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NOTES</w:t>
            </w:r>
          </w:p>
        </w:tc>
      </w:tr>
      <w:tr w:rsidR="00FC31F2" w14:paraId="2C0665C7" w14:textId="77777777" w:rsidTr="006314D5">
        <w:tc>
          <w:tcPr>
            <w:tcW w:w="3012" w:type="dxa"/>
          </w:tcPr>
          <w:p w14:paraId="04C01062"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Governance &amp; policy</w:t>
            </w:r>
          </w:p>
        </w:tc>
        <w:tc>
          <w:tcPr>
            <w:tcW w:w="2410" w:type="dxa"/>
          </w:tcPr>
          <w:p w14:paraId="57412D75"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2</w:t>
            </w:r>
          </w:p>
        </w:tc>
        <w:tc>
          <w:tcPr>
            <w:tcW w:w="4314" w:type="dxa"/>
          </w:tcPr>
          <w:p w14:paraId="7A79C1A2"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Policies exist but are inconsistent across departments</w:t>
            </w:r>
          </w:p>
        </w:tc>
      </w:tr>
      <w:tr w:rsidR="00FC31F2" w14:paraId="1B999A19" w14:textId="77777777" w:rsidTr="006314D5">
        <w:tc>
          <w:tcPr>
            <w:tcW w:w="3012" w:type="dxa"/>
          </w:tcPr>
          <w:p w14:paraId="0C7B5BF0"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Risk management</w:t>
            </w:r>
          </w:p>
        </w:tc>
        <w:tc>
          <w:tcPr>
            <w:tcW w:w="2410" w:type="dxa"/>
          </w:tcPr>
          <w:p w14:paraId="7382B517"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786A2851"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Project-level only; no organization-wide risk register</w:t>
            </w:r>
          </w:p>
        </w:tc>
      </w:tr>
      <w:tr w:rsidR="00FC31F2" w14:paraId="4DBEA7FF" w14:textId="77777777" w:rsidTr="006314D5">
        <w:tc>
          <w:tcPr>
            <w:tcW w:w="3012" w:type="dxa"/>
          </w:tcPr>
          <w:p w14:paraId="6EB96F7F"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Asset management</w:t>
            </w:r>
          </w:p>
        </w:tc>
        <w:tc>
          <w:tcPr>
            <w:tcW w:w="2410" w:type="dxa"/>
          </w:tcPr>
          <w:p w14:paraId="5AF740BD"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1</w:t>
            </w:r>
          </w:p>
        </w:tc>
        <w:tc>
          <w:tcPr>
            <w:tcW w:w="4314" w:type="dxa"/>
          </w:tcPr>
          <w:p w14:paraId="5A7B7830"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No centralized asset inventory</w:t>
            </w:r>
          </w:p>
        </w:tc>
      </w:tr>
      <w:tr w:rsidR="00FC31F2" w14:paraId="229E2CFD" w14:textId="77777777" w:rsidTr="006314D5">
        <w:tc>
          <w:tcPr>
            <w:tcW w:w="3012" w:type="dxa"/>
          </w:tcPr>
          <w:p w14:paraId="263FC452"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Access control</w:t>
            </w:r>
          </w:p>
        </w:tc>
        <w:tc>
          <w:tcPr>
            <w:tcW w:w="2410" w:type="dxa"/>
          </w:tcPr>
          <w:p w14:paraId="775B39BB"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01C2A0C4"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MFA and Entra ID in place; formal access review process is inconsistent</w:t>
            </w:r>
          </w:p>
        </w:tc>
      </w:tr>
      <w:tr w:rsidR="00FC31F2" w14:paraId="4D50BD24" w14:textId="77777777" w:rsidTr="006314D5">
        <w:tc>
          <w:tcPr>
            <w:tcW w:w="3012" w:type="dxa"/>
          </w:tcPr>
          <w:p w14:paraId="293098B7"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Cryptography</w:t>
            </w:r>
          </w:p>
        </w:tc>
        <w:tc>
          <w:tcPr>
            <w:tcW w:w="2410" w:type="dxa"/>
          </w:tcPr>
          <w:p w14:paraId="485F74CE"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3</w:t>
            </w:r>
          </w:p>
        </w:tc>
        <w:tc>
          <w:tcPr>
            <w:tcW w:w="4314" w:type="dxa"/>
          </w:tcPr>
          <w:p w14:paraId="1110D1E3" w14:textId="77777777" w:rsidR="00FC31F2"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Encryption at rest/in transit already standard practice</w:t>
            </w:r>
          </w:p>
        </w:tc>
      </w:tr>
      <w:tr w:rsidR="00FC31F2" w14:paraId="3D17AAB6" w14:textId="77777777" w:rsidTr="006314D5">
        <w:tc>
          <w:tcPr>
            <w:tcW w:w="3012" w:type="dxa"/>
          </w:tcPr>
          <w:p w14:paraId="2D74F974"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Physical security</w:t>
            </w:r>
          </w:p>
        </w:tc>
        <w:tc>
          <w:tcPr>
            <w:tcW w:w="2410" w:type="dxa"/>
          </w:tcPr>
          <w:p w14:paraId="7B9295C7" w14:textId="77777777" w:rsidR="00FC31F2" w:rsidRPr="00B56883"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3</w:t>
            </w:r>
          </w:p>
        </w:tc>
        <w:tc>
          <w:tcPr>
            <w:tcW w:w="4314" w:type="dxa"/>
          </w:tcPr>
          <w:p w14:paraId="4188EDCD"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Cloud-hosted; office physical security is reasonable but undocumented</w:t>
            </w:r>
          </w:p>
        </w:tc>
      </w:tr>
      <w:tr w:rsidR="00FC31F2" w14:paraId="638DA00E" w14:textId="77777777" w:rsidTr="006314D5">
        <w:tc>
          <w:tcPr>
            <w:tcW w:w="3012" w:type="dxa"/>
          </w:tcPr>
          <w:p w14:paraId="4FFCEEC5"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Operations security</w:t>
            </w:r>
          </w:p>
        </w:tc>
        <w:tc>
          <w:tcPr>
            <w:tcW w:w="2410" w:type="dxa"/>
          </w:tcPr>
          <w:p w14:paraId="3560CF90" w14:textId="77777777" w:rsidR="00FC31F2" w:rsidRPr="00B56883"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5E07928A"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SIEM/EDR deployed; monitoring is technically capable but not procedurally mature</w:t>
            </w:r>
          </w:p>
        </w:tc>
      </w:tr>
      <w:tr w:rsidR="00FC31F2" w14:paraId="4E61D35B" w14:textId="77777777" w:rsidTr="006314D5">
        <w:tc>
          <w:tcPr>
            <w:tcW w:w="3012" w:type="dxa"/>
          </w:tcPr>
          <w:p w14:paraId="4B4236D1"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Supplier relationships</w:t>
            </w:r>
          </w:p>
        </w:tc>
        <w:tc>
          <w:tcPr>
            <w:tcW w:w="2410" w:type="dxa"/>
          </w:tcPr>
          <w:p w14:paraId="463DC1D3" w14:textId="77777777" w:rsidR="00FC31F2" w:rsidRPr="00B56883"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4A418395" w14:textId="77777777" w:rsidR="00FC31F2" w:rsidRPr="00B56883"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Inconsistent vendor assessment practice</w:t>
            </w:r>
          </w:p>
        </w:tc>
      </w:tr>
      <w:tr w:rsidR="00FC31F2" w14:paraId="48076C03" w14:textId="77777777" w:rsidTr="006314D5">
        <w:tc>
          <w:tcPr>
            <w:tcW w:w="3012" w:type="dxa"/>
          </w:tcPr>
          <w:p w14:paraId="19F616F0"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Incident management</w:t>
            </w:r>
          </w:p>
        </w:tc>
        <w:tc>
          <w:tcPr>
            <w:tcW w:w="2410" w:type="dxa"/>
          </w:tcPr>
          <w:p w14:paraId="10DAB69A"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319BFB60"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Process exists on paper; untested</w:t>
            </w:r>
          </w:p>
        </w:tc>
      </w:tr>
      <w:tr w:rsidR="00FC31F2" w14:paraId="7F9D3D93" w14:textId="77777777" w:rsidTr="006314D5">
        <w:tc>
          <w:tcPr>
            <w:tcW w:w="3012" w:type="dxa"/>
          </w:tcPr>
          <w:p w14:paraId="5FC79CA2"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Business continuity</w:t>
            </w:r>
          </w:p>
        </w:tc>
        <w:tc>
          <w:tcPr>
            <w:tcW w:w="2410" w:type="dxa"/>
          </w:tcPr>
          <w:p w14:paraId="07D0E220"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737F8EFC"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Backups exist; DR has not been formally tested end-to-end</w:t>
            </w:r>
          </w:p>
        </w:tc>
      </w:tr>
      <w:tr w:rsidR="00FC31F2" w14:paraId="6C3D3BF2" w14:textId="77777777" w:rsidTr="006314D5">
        <w:tc>
          <w:tcPr>
            <w:tcW w:w="3012" w:type="dxa"/>
          </w:tcPr>
          <w:p w14:paraId="4E501D1F"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Compliance</w:t>
            </w:r>
          </w:p>
        </w:tc>
        <w:tc>
          <w:tcPr>
            <w:tcW w:w="2410" w:type="dxa"/>
          </w:tcPr>
          <w:p w14:paraId="727A1DAD" w14:textId="77777777" w:rsidR="00FC31F2" w:rsidRDefault="00FC31F2" w:rsidP="006314D5">
            <w:pPr>
              <w:ind w:left="0" w:firstLine="0"/>
              <w:rPr>
                <w:rFonts w:ascii="Times New Roman" w:hAnsi="Times New Roman" w:cs="Times New Roman"/>
                <w:sz w:val="26"/>
                <w:szCs w:val="26"/>
              </w:rPr>
            </w:pPr>
            <w:r>
              <w:rPr>
                <w:rFonts w:ascii="Times New Roman" w:hAnsi="Times New Roman" w:cs="Times New Roman"/>
                <w:sz w:val="26"/>
                <w:szCs w:val="26"/>
              </w:rPr>
              <w:t>2</w:t>
            </w:r>
          </w:p>
        </w:tc>
        <w:tc>
          <w:tcPr>
            <w:tcW w:w="4314" w:type="dxa"/>
          </w:tcPr>
          <w:p w14:paraId="51D179DF" w14:textId="77777777" w:rsidR="00FC31F2" w:rsidRPr="00A43DD5" w:rsidRDefault="00FC31F2" w:rsidP="006314D5">
            <w:pPr>
              <w:ind w:left="0" w:firstLine="0"/>
              <w:rPr>
                <w:rFonts w:ascii="Times New Roman" w:hAnsi="Times New Roman" w:cs="Times New Roman"/>
                <w:sz w:val="26"/>
                <w:szCs w:val="26"/>
              </w:rPr>
            </w:pPr>
            <w:r w:rsidRPr="00A43DD5">
              <w:rPr>
                <w:rFonts w:ascii="Times New Roman" w:hAnsi="Times New Roman" w:cs="Times New Roman"/>
                <w:sz w:val="26"/>
                <w:szCs w:val="26"/>
              </w:rPr>
              <w:t>Contractual and regulatory obligations tracked informally, per-deal rather than centrally</w:t>
            </w:r>
          </w:p>
        </w:tc>
      </w:tr>
    </w:tbl>
    <w:p w14:paraId="0431AE40"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lastRenderedPageBreak/>
        <w:t xml:space="preserve">This baseline will be formally re-assessed and evidenced in the </w:t>
      </w:r>
      <w:r w:rsidRPr="00A43DD5">
        <w:rPr>
          <w:rFonts w:ascii="Times New Roman" w:hAnsi="Times New Roman" w:cs="Times New Roman"/>
          <w:b/>
          <w:bCs/>
          <w:sz w:val="26"/>
          <w:szCs w:val="26"/>
        </w:rPr>
        <w:t>Phase 1 Gap Assessment Report</w:t>
      </w:r>
      <w:r w:rsidRPr="00A43DD5">
        <w:rPr>
          <w:rFonts w:ascii="Times New Roman" w:hAnsi="Times New Roman" w:cs="Times New Roman"/>
          <w:sz w:val="26"/>
          <w:szCs w:val="26"/>
        </w:rPr>
        <w:t xml:space="preserve"> — the ratings above are a starting hypothesis, not an audit finding.</w:t>
      </w:r>
    </w:p>
    <w:p w14:paraId="00F68021"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3F542368">
          <v:rect id="_x0000_i1046" style="width:0;height:1.5pt" o:hralign="center" o:hrstd="t" o:hr="t" fillcolor="#a0a0a0" stroked="f"/>
        </w:pict>
      </w:r>
    </w:p>
    <w:p w14:paraId="0B9E3248"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19. Target State</w:t>
      </w:r>
    </w:p>
    <w:p w14:paraId="4EFBA1CA"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At the end of this engagement, </w:t>
      </w:r>
      <w:proofErr w:type="spellStart"/>
      <w:r w:rsidRPr="00A43DD5">
        <w:rPr>
          <w:rFonts w:ascii="Times New Roman" w:hAnsi="Times New Roman" w:cs="Times New Roman"/>
          <w:sz w:val="26"/>
          <w:szCs w:val="26"/>
        </w:rPr>
        <w:t>MediSync</w:t>
      </w:r>
      <w:proofErr w:type="spellEnd"/>
      <w:r w:rsidRPr="00A43DD5">
        <w:rPr>
          <w:rFonts w:ascii="Times New Roman" w:hAnsi="Times New Roman" w:cs="Times New Roman"/>
          <w:sz w:val="26"/>
          <w:szCs w:val="26"/>
        </w:rPr>
        <w:t xml:space="preserve"> is expected to have:</w:t>
      </w:r>
    </w:p>
    <w:p w14:paraId="267A991D"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A certified ISMS under </w:t>
      </w:r>
      <w:r w:rsidRPr="00A43DD5">
        <w:rPr>
          <w:rFonts w:ascii="Times New Roman" w:hAnsi="Times New Roman" w:cs="Times New Roman"/>
          <w:b/>
          <w:bCs/>
          <w:sz w:val="26"/>
          <w:szCs w:val="26"/>
        </w:rPr>
        <w:t>ISO/IEC 27001:2022</w:t>
      </w:r>
      <w:r w:rsidRPr="00A43DD5">
        <w:rPr>
          <w:rFonts w:ascii="Times New Roman" w:hAnsi="Times New Roman" w:cs="Times New Roman"/>
          <w:sz w:val="26"/>
          <w:szCs w:val="26"/>
        </w:rPr>
        <w:t xml:space="preserve">, covering the scope defined in Section 2. </w:t>
      </w:r>
    </w:p>
    <w:p w14:paraId="4850BDB5"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A single, owned, current information asset register and risk register. </w:t>
      </w:r>
    </w:p>
    <w:p w14:paraId="5C8AB03A"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Documented and tested incident response and business continuity plans. </w:t>
      </w:r>
    </w:p>
    <w:p w14:paraId="4F979B5A"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Consistent, centrally-tracked vendor security assessments. </w:t>
      </w:r>
    </w:p>
    <w:p w14:paraId="062FB652"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Organization-wide security awareness training with measurable completion. </w:t>
      </w:r>
    </w:p>
    <w:p w14:paraId="6F722D78"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A functioning management review and internal audit cadence that continues after certification, not just through it. </w:t>
      </w:r>
    </w:p>
    <w:p w14:paraId="0A4751F4"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Executive-level visibility into security posture through the </w:t>
      </w:r>
      <w:r w:rsidRPr="00A43DD5">
        <w:rPr>
          <w:rFonts w:ascii="Times New Roman" w:hAnsi="Times New Roman" w:cs="Times New Roman"/>
          <w:b/>
          <w:bCs/>
          <w:sz w:val="26"/>
          <w:szCs w:val="26"/>
        </w:rPr>
        <w:t>Power BI dashboard suite (Phase 10)</w:t>
      </w:r>
      <w:r w:rsidRPr="00A43DD5">
        <w:rPr>
          <w:rFonts w:ascii="Times New Roman" w:hAnsi="Times New Roman" w:cs="Times New Roman"/>
          <w:sz w:val="26"/>
          <w:szCs w:val="26"/>
        </w:rPr>
        <w:t xml:space="preserve">. </w:t>
      </w:r>
    </w:p>
    <w:p w14:paraId="6D1FACC5" w14:textId="77777777" w:rsidR="00FC31F2" w:rsidRPr="00A43DD5" w:rsidRDefault="00FC31F2" w:rsidP="00FC31F2">
      <w:pPr>
        <w:numPr>
          <w:ilvl w:val="0"/>
          <w:numId w:val="16"/>
        </w:numPr>
        <w:rPr>
          <w:rFonts w:ascii="Times New Roman" w:hAnsi="Times New Roman" w:cs="Times New Roman"/>
          <w:sz w:val="26"/>
          <w:szCs w:val="26"/>
        </w:rPr>
      </w:pPr>
      <w:r w:rsidRPr="00A43DD5">
        <w:rPr>
          <w:rFonts w:ascii="Times New Roman" w:hAnsi="Times New Roman" w:cs="Times New Roman"/>
          <w:sz w:val="26"/>
          <w:szCs w:val="26"/>
        </w:rPr>
        <w:t xml:space="preserve">A defensible, documented answer to every customer security questionnaire and RFP requirement currently being handled ad hoc. </w:t>
      </w:r>
    </w:p>
    <w:p w14:paraId="7333E512"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19DF16AA">
          <v:rect id="_x0000_i1047" style="width:0;height:1.5pt" o:hralign="center" o:hrstd="t" o:hr="t" fillcolor="#a0a0a0" stroked="f"/>
        </w:pict>
      </w:r>
    </w:p>
    <w:p w14:paraId="28E7C5C6"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20. Consulting Engagement Scope</w:t>
      </w:r>
    </w:p>
    <w:p w14:paraId="5E9AF580"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The external consulting team has been engaged to deliver:</w:t>
      </w:r>
    </w:p>
    <w:p w14:paraId="79C90EA8"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ISMS Design </w:t>
      </w:r>
    </w:p>
    <w:p w14:paraId="31443719"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ISO/IEC 27001:2022 Implementation </w:t>
      </w:r>
    </w:p>
    <w:p w14:paraId="21027B7F"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Regulatory Compliance Mapping </w:t>
      </w:r>
    </w:p>
    <w:p w14:paraId="77488090"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Risk Assessment and Risk Treatment </w:t>
      </w:r>
    </w:p>
    <w:p w14:paraId="337914D1"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Statement of Applicability (</w:t>
      </w:r>
      <w:proofErr w:type="spellStart"/>
      <w:r w:rsidRPr="00A43DD5">
        <w:rPr>
          <w:rFonts w:ascii="Times New Roman" w:hAnsi="Times New Roman" w:cs="Times New Roman"/>
          <w:sz w:val="26"/>
          <w:szCs w:val="26"/>
        </w:rPr>
        <w:t>SoA</w:t>
      </w:r>
      <w:proofErr w:type="spellEnd"/>
      <w:r w:rsidRPr="00A43DD5">
        <w:rPr>
          <w:rFonts w:ascii="Times New Roman" w:hAnsi="Times New Roman" w:cs="Times New Roman"/>
          <w:sz w:val="26"/>
          <w:szCs w:val="26"/>
        </w:rPr>
        <w:t xml:space="preserve">) </w:t>
      </w:r>
    </w:p>
    <w:p w14:paraId="47205D2F"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Policy and Procedure Development </w:t>
      </w:r>
    </w:p>
    <w:p w14:paraId="3FA3A3F3"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Operational Control Implementation </w:t>
      </w:r>
    </w:p>
    <w:p w14:paraId="03D56CE2"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Internal Audit </w:t>
      </w:r>
    </w:p>
    <w:p w14:paraId="2DBED825"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Management Review Facilitation </w:t>
      </w:r>
    </w:p>
    <w:p w14:paraId="0D76C635"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Corrective Action Management </w:t>
      </w:r>
    </w:p>
    <w:p w14:paraId="209E8CAA"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lastRenderedPageBreak/>
        <w:t xml:space="preserve">Certification Readiness Assessment </w:t>
      </w:r>
    </w:p>
    <w:p w14:paraId="7D870C14" w14:textId="77777777" w:rsidR="00FC31F2" w:rsidRPr="00A43DD5" w:rsidRDefault="00FC31F2" w:rsidP="00FC31F2">
      <w:pPr>
        <w:numPr>
          <w:ilvl w:val="0"/>
          <w:numId w:val="17"/>
        </w:numPr>
        <w:rPr>
          <w:rFonts w:ascii="Times New Roman" w:hAnsi="Times New Roman" w:cs="Times New Roman"/>
          <w:sz w:val="26"/>
          <w:szCs w:val="26"/>
        </w:rPr>
      </w:pPr>
      <w:r w:rsidRPr="00A43DD5">
        <w:rPr>
          <w:rFonts w:ascii="Times New Roman" w:hAnsi="Times New Roman" w:cs="Times New Roman"/>
          <w:sz w:val="26"/>
          <w:szCs w:val="26"/>
        </w:rPr>
        <w:t xml:space="preserve">Stage 1 and Stage 2 Audit Simulation </w:t>
      </w:r>
    </w:p>
    <w:p w14:paraId="40E74F8E"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1E752EFB">
          <v:rect id="_x0000_i1048" style="width:0;height:1.5pt" o:hralign="center" o:hrstd="t" o:hr="t" fillcolor="#a0a0a0" stroked="f"/>
        </w:pict>
      </w:r>
    </w:p>
    <w:p w14:paraId="04E3D0D5"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21. Project Methodology</w:t>
      </w:r>
    </w:p>
    <w:p w14:paraId="32CF317A"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The engagement follows the </w:t>
      </w:r>
      <w:r w:rsidRPr="00A43DD5">
        <w:rPr>
          <w:rFonts w:ascii="Times New Roman" w:hAnsi="Times New Roman" w:cs="Times New Roman"/>
          <w:b/>
          <w:bCs/>
          <w:sz w:val="26"/>
          <w:szCs w:val="26"/>
        </w:rPr>
        <w:t>11-phase structure</w:t>
      </w:r>
      <w:r w:rsidRPr="00A43DD5">
        <w:rPr>
          <w:rFonts w:ascii="Times New Roman" w:hAnsi="Times New Roman" w:cs="Times New Roman"/>
          <w:sz w:val="26"/>
          <w:szCs w:val="26"/>
        </w:rPr>
        <w:t xml:space="preserve"> defined in the Master Phase Roadmap:</w:t>
      </w:r>
    </w:p>
    <w:p w14:paraId="51A9F4B4"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b/>
          <w:bCs/>
          <w:sz w:val="26"/>
          <w:szCs w:val="26"/>
        </w:rPr>
        <w:t>Phase 0 (Company Design) → Phase 1 (Clause 4 — Initiation) → Phase 2 (Clause 5 — Leadership) → Phase 3 (Clause 6 — Planning) → Phase 4 (Clause 7 — Support) → Phase 5 (Clause 8 — Operation) → Phase 6 (Clause 9 — Performance Evaluation) → Phase 7 (Clause 10 — Improvement) → Phase 8 (Stage 1 Audit) → Phase 9 (Stage 2 Audit) → Phase 10 (Certification &amp; Executive Reporting)</w:t>
      </w:r>
    </w:p>
    <w:p w14:paraId="001D8000"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10982801">
          <v:rect id="_x0000_i1049" style="width:0;height:1.5pt" o:hralign="center" o:hrstd="t" o:hr="t" fillcolor="#a0a0a0" stroked="f"/>
        </w:pict>
      </w:r>
    </w:p>
    <w:p w14:paraId="06C434FA"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22. Documentation Strategy</w:t>
      </w:r>
    </w:p>
    <w:p w14:paraId="30311E69"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Every document produced in this engagement references the ones before it, so the whole project reads as one consistent record rather than a set of disconnected templates:</w:t>
      </w:r>
    </w:p>
    <w:p w14:paraId="67685DDA"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b/>
          <w:bCs/>
          <w:sz w:val="26"/>
          <w:szCs w:val="26"/>
        </w:rPr>
        <w:t>Project Charter → Context Analysis → Interested Parties Register → ISMS Scope → Gap Assessment → Risk Assessment Methodology → Asset Register → Risk Register → Risk Treatment Plan → Statement of Applicability → Policies → Procedures → ISMS Manual → Implementation Evidence → Internal Audit → Management Review → Corrective Actions → Certification Readiness.</w:t>
      </w:r>
    </w:p>
    <w:p w14:paraId="29E55C3C"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The same department names, system names (HIS-CORE, EHR-CORE, etc.), asset classifications, and vendor names defined in this dossier are the ones every later document will reuse.</w:t>
      </w:r>
    </w:p>
    <w:p w14:paraId="5F103878"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38437984">
          <v:rect id="_x0000_i1050" style="width:0;height:1.5pt" o:hralign="center" o:hrstd="t" o:hr="t" fillcolor="#a0a0a0" stroked="f"/>
        </w:pict>
      </w:r>
    </w:p>
    <w:p w14:paraId="0C534929"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23. Reporting and Dashboards</w:t>
      </w:r>
    </w:p>
    <w:p w14:paraId="722A5D25"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Operational records are maintained in structured Excel registers — the asset register, risk register, </w:t>
      </w:r>
      <w:proofErr w:type="spellStart"/>
      <w:r w:rsidRPr="00A43DD5">
        <w:rPr>
          <w:rFonts w:ascii="Times New Roman" w:hAnsi="Times New Roman" w:cs="Times New Roman"/>
          <w:sz w:val="26"/>
          <w:szCs w:val="26"/>
        </w:rPr>
        <w:t>SoA</w:t>
      </w:r>
      <w:proofErr w:type="spellEnd"/>
      <w:r w:rsidRPr="00A43DD5">
        <w:rPr>
          <w:rFonts w:ascii="Times New Roman" w:hAnsi="Times New Roman" w:cs="Times New Roman"/>
          <w:sz w:val="26"/>
          <w:szCs w:val="26"/>
        </w:rPr>
        <w:t>, audit findings log, supplier register, and corrective action tracker — because they're straightforward to version, audit, and hand to an external auditor.</w:t>
      </w:r>
    </w:p>
    <w:p w14:paraId="5E443792"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Power BI sits on top as the executive visualization layer. Planned dashboards:</w:t>
      </w:r>
    </w:p>
    <w:p w14:paraId="7A14C1DD"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Enterprise Risk Heat Map </w:t>
      </w:r>
    </w:p>
    <w:p w14:paraId="095E35B9"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Asset Inventory Dashboard </w:t>
      </w:r>
    </w:p>
    <w:p w14:paraId="7E3FA630"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Statement of Applicability Progress </w:t>
      </w:r>
    </w:p>
    <w:p w14:paraId="6AD7712D"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Annex A Control Implementation Status </w:t>
      </w:r>
    </w:p>
    <w:p w14:paraId="661DC15C"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Compliance Dashboard </w:t>
      </w:r>
    </w:p>
    <w:p w14:paraId="1E8FC38F"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lastRenderedPageBreak/>
        <w:t xml:space="preserve">Supplier Risk Dashboard </w:t>
      </w:r>
    </w:p>
    <w:p w14:paraId="0C4E1653"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Security Awareness Dashboard </w:t>
      </w:r>
    </w:p>
    <w:p w14:paraId="2ABB2BAC"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Internal Audit Dashboard </w:t>
      </w:r>
    </w:p>
    <w:p w14:paraId="69871DD4"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Corrective Action Tracker </w:t>
      </w:r>
    </w:p>
    <w:p w14:paraId="7F903EA1" w14:textId="77777777" w:rsidR="00FC31F2" w:rsidRPr="00A43DD5" w:rsidRDefault="00FC31F2" w:rsidP="00FC31F2">
      <w:pPr>
        <w:numPr>
          <w:ilvl w:val="0"/>
          <w:numId w:val="18"/>
        </w:numPr>
        <w:rPr>
          <w:rFonts w:ascii="Times New Roman" w:hAnsi="Times New Roman" w:cs="Times New Roman"/>
          <w:sz w:val="26"/>
          <w:szCs w:val="26"/>
        </w:rPr>
      </w:pPr>
      <w:r w:rsidRPr="00A43DD5">
        <w:rPr>
          <w:rFonts w:ascii="Times New Roman" w:hAnsi="Times New Roman" w:cs="Times New Roman"/>
          <w:sz w:val="26"/>
          <w:szCs w:val="26"/>
        </w:rPr>
        <w:t xml:space="preserve">Executive ISMS Dashboard </w:t>
      </w:r>
    </w:p>
    <w:p w14:paraId="5BBFA6EA"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0F999DEA">
          <v:rect id="_x0000_i1051" style="width:0;height:1.5pt" o:hralign="center" o:hrstd="t" o:hr="t" fillcolor="#a0a0a0" stroked="f"/>
        </w:pict>
      </w:r>
    </w:p>
    <w:p w14:paraId="627345BC"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24. Assumptions and Constraints</w:t>
      </w:r>
    </w:p>
    <w:p w14:paraId="7B471842"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To keep the simulation realistic without requiring every real-world detail to be invented, the following assumptions apply project-wide unless a later document states otherwise:</w:t>
      </w:r>
    </w:p>
    <w:p w14:paraId="717A8972" w14:textId="77777777" w:rsidR="00FC31F2" w:rsidRPr="00A43DD5" w:rsidRDefault="00FC31F2" w:rsidP="00FC31F2">
      <w:pPr>
        <w:numPr>
          <w:ilvl w:val="0"/>
          <w:numId w:val="19"/>
        </w:numPr>
        <w:rPr>
          <w:rFonts w:ascii="Times New Roman" w:hAnsi="Times New Roman" w:cs="Times New Roman"/>
          <w:sz w:val="26"/>
          <w:szCs w:val="26"/>
        </w:rPr>
      </w:pPr>
      <w:r w:rsidRPr="00A43DD5">
        <w:rPr>
          <w:rFonts w:ascii="Times New Roman" w:hAnsi="Times New Roman" w:cs="Times New Roman"/>
          <w:sz w:val="26"/>
          <w:szCs w:val="26"/>
        </w:rPr>
        <w:t xml:space="preserve">All financial figures, exact headcounts, and vendor names are illustrative and fictional. </w:t>
      </w:r>
    </w:p>
    <w:p w14:paraId="04F7C2CB" w14:textId="77777777" w:rsidR="00FC31F2" w:rsidRPr="00A43DD5" w:rsidRDefault="00FC31F2" w:rsidP="00FC31F2">
      <w:pPr>
        <w:numPr>
          <w:ilvl w:val="0"/>
          <w:numId w:val="19"/>
        </w:numPr>
        <w:rPr>
          <w:rFonts w:ascii="Times New Roman" w:hAnsi="Times New Roman" w:cs="Times New Roman"/>
          <w:sz w:val="26"/>
          <w:szCs w:val="26"/>
        </w:rPr>
      </w:pPr>
      <w:r w:rsidRPr="00A43DD5">
        <w:rPr>
          <w:rFonts w:ascii="Times New Roman" w:hAnsi="Times New Roman" w:cs="Times New Roman"/>
          <w:sz w:val="26"/>
          <w:szCs w:val="26"/>
        </w:rPr>
        <w:t xml:space="preserve">Regulatory obligations (DPDP Act, UAE PDPL, etc.) are described at the level of general obligation, not as legal advice or a formal legal opinion. </w:t>
      </w:r>
    </w:p>
    <w:p w14:paraId="2FF89A46" w14:textId="77777777" w:rsidR="00FC31F2" w:rsidRPr="00A43DD5" w:rsidRDefault="00FC31F2" w:rsidP="00FC31F2">
      <w:pPr>
        <w:numPr>
          <w:ilvl w:val="0"/>
          <w:numId w:val="19"/>
        </w:numPr>
        <w:rPr>
          <w:rFonts w:ascii="Times New Roman" w:hAnsi="Times New Roman" w:cs="Times New Roman"/>
          <w:sz w:val="26"/>
          <w:szCs w:val="26"/>
        </w:rPr>
      </w:pPr>
      <w:r w:rsidRPr="00A43DD5">
        <w:rPr>
          <w:rFonts w:ascii="Times New Roman" w:hAnsi="Times New Roman" w:cs="Times New Roman"/>
          <w:sz w:val="26"/>
          <w:szCs w:val="26"/>
        </w:rPr>
        <w:t xml:space="preserve">The external certification body used in Phases 8–9 will be a fictional entity, introduced at that stage, and is not intended to represent any real accreditation body. </w:t>
      </w:r>
    </w:p>
    <w:p w14:paraId="6F432F91" w14:textId="77777777" w:rsidR="00FC31F2" w:rsidRPr="00A43DD5" w:rsidRDefault="00FC31F2" w:rsidP="00FC31F2">
      <w:pPr>
        <w:numPr>
          <w:ilvl w:val="0"/>
          <w:numId w:val="19"/>
        </w:numPr>
        <w:rPr>
          <w:rFonts w:ascii="Times New Roman" w:hAnsi="Times New Roman" w:cs="Times New Roman"/>
          <w:sz w:val="26"/>
          <w:szCs w:val="26"/>
        </w:rPr>
      </w:pPr>
      <w:r w:rsidRPr="00A43DD5">
        <w:rPr>
          <w:rFonts w:ascii="Times New Roman" w:hAnsi="Times New Roman" w:cs="Times New Roman"/>
          <w:sz w:val="26"/>
          <w:szCs w:val="26"/>
        </w:rPr>
        <w:t xml:space="preserve">Where a detail hasn't been decided yet (e.g., exact UAE healthcare-sector obligations for a specific customer), it is deferred to the phase where that document is normally produced (in this case, the Phase 1 Legal &amp; Regulatory Register) rather than guessed at here. </w:t>
      </w:r>
    </w:p>
    <w:p w14:paraId="7F84BA18" w14:textId="77777777" w:rsidR="00FC31F2" w:rsidRPr="00A43DD5" w:rsidRDefault="00FC31F2" w:rsidP="00FC31F2">
      <w:pPr>
        <w:rPr>
          <w:rFonts w:ascii="Times New Roman" w:hAnsi="Times New Roman" w:cs="Times New Roman"/>
          <w:sz w:val="26"/>
          <w:szCs w:val="26"/>
        </w:rPr>
      </w:pPr>
      <w:r>
        <w:rPr>
          <w:rFonts w:ascii="Times New Roman" w:hAnsi="Times New Roman" w:cs="Times New Roman"/>
          <w:sz w:val="26"/>
          <w:szCs w:val="26"/>
        </w:rPr>
        <w:pict w14:anchorId="134BCF23">
          <v:rect id="_x0000_i1052" style="width:0;height:1.5pt" o:hralign="center" o:hrstd="t" o:hr="t" fillcolor="#a0a0a0" stroked="f"/>
        </w:pict>
      </w:r>
    </w:p>
    <w:p w14:paraId="21E424A1" w14:textId="77777777" w:rsidR="00FC31F2" w:rsidRPr="00A43DD5" w:rsidRDefault="00FC31F2" w:rsidP="00FC31F2">
      <w:pPr>
        <w:rPr>
          <w:rFonts w:ascii="Times New Roman" w:hAnsi="Times New Roman" w:cs="Times New Roman"/>
          <w:b/>
          <w:bCs/>
          <w:sz w:val="26"/>
          <w:szCs w:val="26"/>
        </w:rPr>
      </w:pPr>
      <w:r w:rsidRPr="00A43DD5">
        <w:rPr>
          <w:rFonts w:ascii="Times New Roman" w:hAnsi="Times New Roman" w:cs="Times New Roman"/>
          <w:b/>
          <w:bCs/>
          <w:sz w:val="26"/>
          <w:szCs w:val="26"/>
        </w:rPr>
        <w:t>25. Expected Outcome</w:t>
      </w:r>
    </w:p>
    <w:p w14:paraId="485DFC58" w14:textId="77777777" w:rsidR="00FC31F2" w:rsidRPr="00A43DD5" w:rsidRDefault="00FC31F2" w:rsidP="00FC31F2">
      <w:pPr>
        <w:rPr>
          <w:rFonts w:ascii="Times New Roman" w:hAnsi="Times New Roman" w:cs="Times New Roman"/>
          <w:sz w:val="26"/>
          <w:szCs w:val="26"/>
        </w:rPr>
      </w:pPr>
      <w:r w:rsidRPr="00A43DD5">
        <w:rPr>
          <w:rFonts w:ascii="Times New Roman" w:hAnsi="Times New Roman" w:cs="Times New Roman"/>
          <w:sz w:val="26"/>
          <w:szCs w:val="26"/>
        </w:rPr>
        <w:t xml:space="preserve">By the end of this engagement, </w:t>
      </w:r>
      <w:proofErr w:type="spellStart"/>
      <w:r w:rsidRPr="00A43DD5">
        <w:rPr>
          <w:rFonts w:ascii="Times New Roman" w:hAnsi="Times New Roman" w:cs="Times New Roman"/>
          <w:b/>
          <w:bCs/>
          <w:sz w:val="26"/>
          <w:szCs w:val="26"/>
        </w:rPr>
        <w:t>MediSync</w:t>
      </w:r>
      <w:proofErr w:type="spellEnd"/>
      <w:r w:rsidRPr="00A43DD5">
        <w:rPr>
          <w:rFonts w:ascii="Times New Roman" w:hAnsi="Times New Roman" w:cs="Times New Roman"/>
          <w:b/>
          <w:bCs/>
          <w:sz w:val="26"/>
          <w:szCs w:val="26"/>
        </w:rPr>
        <w:t xml:space="preserve"> Technologies </w:t>
      </w:r>
      <w:proofErr w:type="spellStart"/>
      <w:r w:rsidRPr="00A43DD5">
        <w:rPr>
          <w:rFonts w:ascii="Times New Roman" w:hAnsi="Times New Roman" w:cs="Times New Roman"/>
          <w:b/>
          <w:bCs/>
          <w:sz w:val="26"/>
          <w:szCs w:val="26"/>
        </w:rPr>
        <w:t>Pvt.</w:t>
      </w:r>
      <w:proofErr w:type="spellEnd"/>
      <w:r w:rsidRPr="00A43DD5">
        <w:rPr>
          <w:rFonts w:ascii="Times New Roman" w:hAnsi="Times New Roman" w:cs="Times New Roman"/>
          <w:b/>
          <w:bCs/>
          <w:sz w:val="26"/>
          <w:szCs w:val="26"/>
        </w:rPr>
        <w:t xml:space="preserve"> Ltd.</w:t>
      </w:r>
      <w:r w:rsidRPr="00A43DD5">
        <w:rPr>
          <w:rFonts w:ascii="Times New Roman" w:hAnsi="Times New Roman" w:cs="Times New Roman"/>
          <w:sz w:val="26"/>
          <w:szCs w:val="26"/>
        </w:rPr>
        <w:t xml:space="preserve"> will have a fully implemented Information Security Management System aligned with </w:t>
      </w:r>
      <w:r w:rsidRPr="00A43DD5">
        <w:rPr>
          <w:rFonts w:ascii="Times New Roman" w:hAnsi="Times New Roman" w:cs="Times New Roman"/>
          <w:b/>
          <w:bCs/>
          <w:sz w:val="26"/>
          <w:szCs w:val="26"/>
        </w:rPr>
        <w:t>ISO/IEC 27001:2022</w:t>
      </w:r>
      <w:r w:rsidRPr="00A43DD5">
        <w:rPr>
          <w:rFonts w:ascii="Times New Roman" w:hAnsi="Times New Roman" w:cs="Times New Roman"/>
          <w:sz w:val="26"/>
          <w:szCs w:val="26"/>
        </w:rPr>
        <w:t xml:space="preserve"> — documented, evidenced, internally audited, reviewed by management, and ready for external certification.</w:t>
      </w:r>
    </w:p>
    <w:p w14:paraId="0AEA8B12" w14:textId="77777777" w:rsidR="00FC31F2" w:rsidRPr="00B56883" w:rsidRDefault="00FC31F2" w:rsidP="00FC31F2">
      <w:pPr>
        <w:rPr>
          <w:rFonts w:ascii="Times New Roman" w:hAnsi="Times New Roman" w:cs="Times New Roman"/>
          <w:sz w:val="26"/>
          <w:szCs w:val="26"/>
        </w:rPr>
      </w:pPr>
    </w:p>
    <w:p w14:paraId="5838A9CB" w14:textId="77777777" w:rsidR="00AF0460" w:rsidRDefault="00AF0460"/>
    <w:sectPr w:rsidR="00AF0460" w:rsidSect="00FC3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D5D"/>
    <w:multiLevelType w:val="multilevel"/>
    <w:tmpl w:val="7576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A7170"/>
    <w:multiLevelType w:val="multilevel"/>
    <w:tmpl w:val="61B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1F1C"/>
    <w:multiLevelType w:val="multilevel"/>
    <w:tmpl w:val="4AE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D4271"/>
    <w:multiLevelType w:val="multilevel"/>
    <w:tmpl w:val="320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97015"/>
    <w:multiLevelType w:val="multilevel"/>
    <w:tmpl w:val="618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D33FA"/>
    <w:multiLevelType w:val="multilevel"/>
    <w:tmpl w:val="5C8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782"/>
    <w:multiLevelType w:val="multilevel"/>
    <w:tmpl w:val="9D0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632A3"/>
    <w:multiLevelType w:val="multilevel"/>
    <w:tmpl w:val="AA7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019FD"/>
    <w:multiLevelType w:val="multilevel"/>
    <w:tmpl w:val="8BF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2401"/>
    <w:multiLevelType w:val="multilevel"/>
    <w:tmpl w:val="DAE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0111C"/>
    <w:multiLevelType w:val="multilevel"/>
    <w:tmpl w:val="35E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D1425"/>
    <w:multiLevelType w:val="multilevel"/>
    <w:tmpl w:val="1A9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045DE"/>
    <w:multiLevelType w:val="multilevel"/>
    <w:tmpl w:val="103C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F2852"/>
    <w:multiLevelType w:val="multilevel"/>
    <w:tmpl w:val="3A5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C78A4"/>
    <w:multiLevelType w:val="multilevel"/>
    <w:tmpl w:val="EEE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C6FE2"/>
    <w:multiLevelType w:val="multilevel"/>
    <w:tmpl w:val="232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41AE6"/>
    <w:multiLevelType w:val="multilevel"/>
    <w:tmpl w:val="1FB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5760C"/>
    <w:multiLevelType w:val="multilevel"/>
    <w:tmpl w:val="E9A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943A6"/>
    <w:multiLevelType w:val="multilevel"/>
    <w:tmpl w:val="F02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266031">
    <w:abstractNumId w:val="4"/>
  </w:num>
  <w:num w:numId="2" w16cid:durableId="364212213">
    <w:abstractNumId w:val="11"/>
  </w:num>
  <w:num w:numId="3" w16cid:durableId="1185050169">
    <w:abstractNumId w:val="14"/>
  </w:num>
  <w:num w:numId="4" w16cid:durableId="1877039299">
    <w:abstractNumId w:val="5"/>
  </w:num>
  <w:num w:numId="5" w16cid:durableId="530652151">
    <w:abstractNumId w:val="1"/>
  </w:num>
  <w:num w:numId="6" w16cid:durableId="1313094682">
    <w:abstractNumId w:val="2"/>
  </w:num>
  <w:num w:numId="7" w16cid:durableId="1306621986">
    <w:abstractNumId w:val="18"/>
  </w:num>
  <w:num w:numId="8" w16cid:durableId="1330408917">
    <w:abstractNumId w:val="7"/>
  </w:num>
  <w:num w:numId="9" w16cid:durableId="218171816">
    <w:abstractNumId w:val="10"/>
  </w:num>
  <w:num w:numId="10" w16cid:durableId="810639868">
    <w:abstractNumId w:val="6"/>
  </w:num>
  <w:num w:numId="11" w16cid:durableId="694617830">
    <w:abstractNumId w:val="13"/>
  </w:num>
  <w:num w:numId="12" w16cid:durableId="765853829">
    <w:abstractNumId w:val="15"/>
  </w:num>
  <w:num w:numId="13" w16cid:durableId="253756556">
    <w:abstractNumId w:val="12"/>
  </w:num>
  <w:num w:numId="14" w16cid:durableId="1412433864">
    <w:abstractNumId w:val="9"/>
  </w:num>
  <w:num w:numId="15" w16cid:durableId="719280792">
    <w:abstractNumId w:val="17"/>
  </w:num>
  <w:num w:numId="16" w16cid:durableId="1990787435">
    <w:abstractNumId w:val="3"/>
  </w:num>
  <w:num w:numId="17" w16cid:durableId="306714671">
    <w:abstractNumId w:val="0"/>
  </w:num>
  <w:num w:numId="18" w16cid:durableId="516966505">
    <w:abstractNumId w:val="16"/>
  </w:num>
  <w:num w:numId="19" w16cid:durableId="7803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43"/>
    <w:rsid w:val="0031273C"/>
    <w:rsid w:val="005444B4"/>
    <w:rsid w:val="009E729E"/>
    <w:rsid w:val="00AF0460"/>
    <w:rsid w:val="00C123E5"/>
    <w:rsid w:val="00D61843"/>
    <w:rsid w:val="00E32765"/>
    <w:rsid w:val="00FC3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AF97"/>
  <w15:chartTrackingRefBased/>
  <w15:docId w15:val="{79ADEE94-1908-42AD-A53D-745A4EE32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1F2"/>
  </w:style>
  <w:style w:type="paragraph" w:styleId="Heading1">
    <w:name w:val="heading 1"/>
    <w:basedOn w:val="Normal"/>
    <w:next w:val="Normal"/>
    <w:link w:val="Heading1Char"/>
    <w:uiPriority w:val="9"/>
    <w:qFormat/>
    <w:rsid w:val="00D61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43"/>
    <w:rPr>
      <w:rFonts w:eastAsiaTheme="majorEastAsia" w:cstheme="majorBidi"/>
      <w:color w:val="272727" w:themeColor="text1" w:themeTint="D8"/>
    </w:rPr>
  </w:style>
  <w:style w:type="paragraph" w:styleId="Title">
    <w:name w:val="Title"/>
    <w:basedOn w:val="Normal"/>
    <w:next w:val="Normal"/>
    <w:link w:val="TitleChar"/>
    <w:uiPriority w:val="10"/>
    <w:qFormat/>
    <w:rsid w:val="00D6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43"/>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43"/>
    <w:pPr>
      <w:spacing w:before="160"/>
      <w:jc w:val="center"/>
    </w:pPr>
    <w:rPr>
      <w:i/>
      <w:iCs/>
      <w:color w:val="404040" w:themeColor="text1" w:themeTint="BF"/>
    </w:rPr>
  </w:style>
  <w:style w:type="character" w:customStyle="1" w:styleId="QuoteChar">
    <w:name w:val="Quote Char"/>
    <w:basedOn w:val="DefaultParagraphFont"/>
    <w:link w:val="Quote"/>
    <w:uiPriority w:val="29"/>
    <w:rsid w:val="00D61843"/>
    <w:rPr>
      <w:i/>
      <w:iCs/>
      <w:color w:val="404040" w:themeColor="text1" w:themeTint="BF"/>
    </w:rPr>
  </w:style>
  <w:style w:type="paragraph" w:styleId="ListParagraph">
    <w:name w:val="List Paragraph"/>
    <w:basedOn w:val="Normal"/>
    <w:uiPriority w:val="34"/>
    <w:qFormat/>
    <w:rsid w:val="00D61843"/>
    <w:pPr>
      <w:ind w:left="720"/>
      <w:contextualSpacing/>
    </w:pPr>
  </w:style>
  <w:style w:type="character" w:styleId="IntenseEmphasis">
    <w:name w:val="Intense Emphasis"/>
    <w:basedOn w:val="DefaultParagraphFont"/>
    <w:uiPriority w:val="21"/>
    <w:qFormat/>
    <w:rsid w:val="00D61843"/>
    <w:rPr>
      <w:i/>
      <w:iCs/>
      <w:color w:val="2F5496" w:themeColor="accent1" w:themeShade="BF"/>
    </w:rPr>
  </w:style>
  <w:style w:type="paragraph" w:styleId="IntenseQuote">
    <w:name w:val="Intense Quote"/>
    <w:basedOn w:val="Normal"/>
    <w:next w:val="Normal"/>
    <w:link w:val="IntenseQuoteChar"/>
    <w:uiPriority w:val="30"/>
    <w:qFormat/>
    <w:rsid w:val="00D61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843"/>
    <w:rPr>
      <w:i/>
      <w:iCs/>
      <w:color w:val="2F5496" w:themeColor="accent1" w:themeShade="BF"/>
    </w:rPr>
  </w:style>
  <w:style w:type="character" w:styleId="IntenseReference">
    <w:name w:val="Intense Reference"/>
    <w:basedOn w:val="DefaultParagraphFont"/>
    <w:uiPriority w:val="32"/>
    <w:qFormat/>
    <w:rsid w:val="00D61843"/>
    <w:rPr>
      <w:b/>
      <w:bCs/>
      <w:smallCaps/>
      <w:color w:val="2F5496" w:themeColor="accent1" w:themeShade="BF"/>
      <w:spacing w:val="5"/>
    </w:rPr>
  </w:style>
  <w:style w:type="table" w:styleId="TableGrid">
    <w:name w:val="Table Grid"/>
    <w:basedOn w:val="TableNormal"/>
    <w:uiPriority w:val="39"/>
    <w:rsid w:val="00FC3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4861</Words>
  <Characters>27713</Characters>
  <Application>Microsoft Office Word</Application>
  <DocSecurity>0</DocSecurity>
  <Lines>230</Lines>
  <Paragraphs>65</Paragraphs>
  <ScaleCrop>false</ScaleCrop>
  <Company/>
  <LinksUpToDate>false</LinksUpToDate>
  <CharactersWithSpaces>32509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4</cp:revision>
  <dcterms:created xsi:type="dcterms:W3CDTF">2026-09-22T10:42:00Z</dcterms:created>
  <dcterms:modified xsi:type="dcterms:W3CDTF">2026-09-22T10:42:00Z</dcterms:modified>
</cp:coreProperties>
</file>