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right="-4.724409448817823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right="-4.724409448817823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right="-4.724409448817823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4.724409448817823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right="-4.724409448817823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right="-4.724409448817823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right="-4.724409448817823"/>
        <w:rPr>
          <w:rFonts w:ascii="Arial" w:cs="Arial" w:eastAsia="Arial" w:hAnsi="Arial"/>
          <w:color w:val="231f20"/>
        </w:rPr>
      </w:pPr>
      <w:bookmarkStart w:colFirst="0" w:colLast="0" w:name="_9mi7zw3dvgc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right="-4.724409448817823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right="-4.724409448817823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Segurança da informação -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4.724409448817823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Informações gerais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Versão:</w:t>
        <w:tab/>
        <w:tab/>
        <w:t xml:space="preserve">${VERSION}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Estado do documento:</w:t>
        <w:tab/>
        <w:tab/>
        <w:t xml:space="preserve">${STATE}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Classificação:</w:t>
        <w:tab/>
        <w:tab/>
        <w:t xml:space="preserve">${CLASSIFICATION}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Empresa:</w:t>
        <w:tab/>
        <w:tab/>
        <w:t xml:space="preserve">${COMPANY}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right="-4.724409448817823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Nome do documento:</w:t>
        <w:tab/>
        <w:tab/>
        <w:t xml:space="preserve">${DOCUMENT}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Data:</w:t>
        <w:tab/>
        <w:tab/>
        <w:t xml:space="preserve">${DATE}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Consultor(es) de segurança: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right="-4.724409448817823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Representante(s) do cliente:  </w:t>
        <w:tab/>
        <w:t xml:space="preserve">${CLIENT}</w:t>
      </w:r>
    </w:p>
    <w:p w:rsidR="00000000" w:rsidDel="00000000" w:rsidP="00000000" w:rsidRDefault="00000000" w:rsidRPr="00000000" w14:paraId="00000020">
      <w:pPr>
        <w:spacing w:after="0" w:line="276" w:lineRule="auto"/>
        <w:ind w:right="-4.724409448817823"/>
        <w:jc w:val="left"/>
        <w:rPr>
          <w:rFonts w:ascii="Arial" w:cs="Arial" w:eastAsia="Arial" w:hAnsi="Arial"/>
          <w:b w:val="1"/>
          <w:bCs w:val="1"/>
          <w:color w:val="231f2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2"/>
          <w:szCs w:val="32"/>
          <w:rtl w:val="0"/>
        </w:rPr>
        <w:t xml:space="preserve">Resumo</w:t>
      </w:r>
    </w:p>
    <w:p w:rsidR="00000000" w:rsidDel="00000000" w:rsidP="00000000" w:rsidRDefault="00000000" w:rsidRPr="00000000" w14:paraId="00000021">
      <w:pPr>
        <w:spacing w:before="240" w:lineRule="auto"/>
        <w:ind w:right="-4.724409448817823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${SUMMARY_EVAL_RISK}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ind w:right="-4.724409448817823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4"/>
          <w:szCs w:val="24"/>
          <w:rtl w:val="0"/>
        </w:rPr>
        <w:t xml:space="preserve">Mapa de riscos atual</w:t>
      </w:r>
    </w:p>
    <w:p w:rsidR="00000000" w:rsidDel="00000000" w:rsidP="00000000" w:rsidRDefault="00000000" w:rsidRPr="00000000" w14:paraId="00000023">
      <w:pPr>
        <w:spacing w:before="24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${CURRENT_RISK_MAP}</w:t>
      </w:r>
    </w:p>
    <w:p w:rsidR="00000000" w:rsidDel="00000000" w:rsidP="00000000" w:rsidRDefault="00000000" w:rsidRPr="00000000" w14:paraId="00000024">
      <w:pPr>
        <w:spacing w:before="240" w:lineRule="auto"/>
        <w:ind w:right="-4.724409448817823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4"/>
          <w:szCs w:val="24"/>
          <w:rtl w:val="0"/>
        </w:rPr>
        <w:t xml:space="preserve">Mapa de riscos alvo</w:t>
      </w:r>
    </w:p>
    <w:p w:rsidR="00000000" w:rsidDel="00000000" w:rsidP="00000000" w:rsidRDefault="00000000" w:rsidRPr="00000000" w14:paraId="00000025">
      <w:pPr>
        <w:spacing w:before="240" w:lineRule="auto"/>
        <w:ind w:right="-4.724409448817823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${TARGET_RISK_MAP}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right="-4.724409448817823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-4.72440944881782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3466972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2nbkj4441f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y2nbkj4441f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_y2nbkj4441f3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begin"/>
            <w:instrText xml:space="preserve"> HYPERLINK \l "_y2nbkj4441f3"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w8mpuavxg4y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w8mpuavxg4y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_w8mpuavxg4yp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da análise de risco</w:t>
            <w:tab/>
            <w:t xml:space="preserve">4</w:t>
          </w:r>
          <w:r w:rsidDel="00000000" w:rsidR="00000000" w:rsidRPr="00000000">
            <w:fldChar w:fldCharType="begin"/>
            <w:instrText xml:space="preserve"> HYPERLINK \l "_w8mpuavxg4yp"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6widsnpimha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6widsnpimha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_6widsnpimhac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Objetivos do documento</w:t>
            <w:tab/>
            <w:t xml:space="preserve">4</w:t>
          </w:r>
          <w:r w:rsidDel="00000000" w:rsidR="00000000" w:rsidRPr="00000000">
            <w:fldChar w:fldCharType="begin"/>
            <w:instrText xml:space="preserve"> HYPERLINK \l "_6widsnpimhac"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wyej7ctisx3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wyej7ctisx3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_wyej7ctisx30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4</w:t>
          </w:r>
          <w:r w:rsidDel="00000000" w:rsidR="00000000" w:rsidRPr="00000000">
            <w:fldChar w:fldCharType="begin"/>
            <w:instrText xml:space="preserve"> HYPERLINK \l "_wyej7ctisx30"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x58ft5m8taw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x58ft5m8taw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_x58ft5m8taw2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Acrónimos/Glossário</w:t>
            <w:tab/>
            <w:t xml:space="preserve">4</w:t>
          </w:r>
          <w:r w:rsidDel="00000000" w:rsidR="00000000" w:rsidRPr="00000000">
            <w:fldChar w:fldCharType="begin"/>
            <w:instrText xml:space="preserve"> HYPERLINK \l "_x58ft5m8taw2"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8gae0247f4u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8gae0247f4u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_8gae0247f4uz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«Método de Análise de Risco Otimizado CASES» (MONARC)</w:t>
            <w:tab/>
            <w:t xml:space="preserve">5</w:t>
          </w:r>
          <w:r w:rsidDel="00000000" w:rsidR="00000000" w:rsidRPr="00000000">
            <w:fldChar w:fldCharType="begin"/>
            <w:instrText xml:space="preserve"> HYPERLINK \l "_8gae0247f4uz"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mu2fgpflws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mu2fgpflwsw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_mu2fgpflwsw5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Estabelecimento do contexto</w:t>
            <w:tab/>
            <w:t xml:space="preserve">7</w:t>
          </w:r>
          <w:r w:rsidDel="00000000" w:rsidR="00000000" w:rsidRPr="00000000">
            <w:fldChar w:fldCharType="begin"/>
            <w:instrText xml:space="preserve"> HYPERLINK \l "_mu2fgpflwsw5"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tklr2wrtqaw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tklr2wrtqaw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_tklr2wrtqawx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contexto</w:t>
            <w:tab/>
            <w:t xml:space="preserve">7</w:t>
          </w:r>
          <w:r w:rsidDel="00000000" w:rsidR="00000000" w:rsidRPr="00000000">
            <w:fldChar w:fldCharType="begin"/>
            <w:instrText xml:space="preserve"> HYPERLINK \l "_tklr2wrtqawx"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fczefkry6ll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fczefkry6ll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_fczefkry6llw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Definição dos critérios de avaliação de risco</w:t>
            <w:tab/>
            <w:t xml:space="preserve">7</w:t>
          </w:r>
          <w:r w:rsidDel="00000000" w:rsidR="00000000" w:rsidRPr="00000000">
            <w:fldChar w:fldCharType="begin"/>
            <w:instrText xml:space="preserve"> HYPERLINK \l "_fczefkry6llw"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xwwqsnwvpot1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xwwqsnwvpot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_xwwqsnwvpot1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de informação</w:t>
            <w:tab/>
            <w:t xml:space="preserve">7</w:t>
          </w:r>
          <w:r w:rsidDel="00000000" w:rsidR="00000000" w:rsidRPr="00000000">
            <w:fldChar w:fldCharType="begin"/>
            <w:instrText xml:space="preserve"> HYPERLINK \l "_xwwqsnwvpot1"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4zcm3fgb0swd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2.2.1.1</w:t>
            </w:r>
          </w:hyperlink>
          <w:hyperlink w:anchor="_4zcm3fgb0sw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_4zcm3fgb0swd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impacto</w:t>
            <w:tab/>
            <w:t xml:space="preserve">7</w:t>
          </w:r>
          <w:r w:rsidDel="00000000" w:rsidR="00000000" w:rsidRPr="00000000">
            <w:fldChar w:fldCharType="begin"/>
            <w:instrText xml:space="preserve"> HYPERLINK \l "_4zcm3fgb0swd"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4mq4u9m554qt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2.2.1.2</w:t>
            </w:r>
          </w:hyperlink>
          <w:hyperlink w:anchor="_4mq4u9m554q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_4mq4u9m554qt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ameaças</w:t>
            <w:tab/>
            <w:t xml:space="preserve">7</w:t>
          </w:r>
          <w:r w:rsidDel="00000000" w:rsidR="00000000" w:rsidRPr="00000000">
            <w:fldChar w:fldCharType="begin"/>
            <w:instrText xml:space="preserve"> HYPERLINK \l "_4mq4u9m554qt"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evtv01vjp00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2.2.1.3</w:t>
            </w:r>
          </w:hyperlink>
          <w:hyperlink w:anchor="_oevtv01vjp0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_oevtv01vjp00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vulnerabilidade</w:t>
            <w:tab/>
            <w:t xml:space="preserve">7</w:t>
          </w:r>
          <w:r w:rsidDel="00000000" w:rsidR="00000000" w:rsidRPr="00000000">
            <w:fldChar w:fldCharType="begin"/>
            <w:instrText xml:space="preserve"> HYPERLINK \l "_oevtv01vjp00"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5nf2tesshbzu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2.2.1.4</w:t>
            </w:r>
          </w:hyperlink>
          <w:hyperlink w:anchor="_5nf2tesshbz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_5nf2tesshbzu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Limites de aceitação de risco</w:t>
            <w:tab/>
            <w:t xml:space="preserve">8</w:t>
          </w:r>
          <w:r w:rsidDel="00000000" w:rsidR="00000000" w:rsidRPr="00000000">
            <w:fldChar w:fldCharType="begin"/>
            <w:instrText xml:space="preserve"> HYPERLINK \l "_5nf2tesshbzu"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lcpbay598rg6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lcpbay598rg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_lcpbay598rg6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operacionais</w:t>
            <w:tab/>
            <w:t xml:space="preserve">8</w:t>
          </w:r>
          <w:r w:rsidDel="00000000" w:rsidR="00000000" w:rsidRPr="00000000">
            <w:fldChar w:fldCharType="begin"/>
            <w:instrText xml:space="preserve"> HYPERLINK \l "_lcpbay598rg6"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salwi1i4573u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2.2.2.1</w:t>
            </w:r>
          </w:hyperlink>
          <w:hyperlink w:anchor="_salwi1i4573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_salwi1i4573u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impacto</w:t>
            <w:tab/>
            <w:t xml:space="preserve">8</w:t>
          </w:r>
          <w:r w:rsidDel="00000000" w:rsidR="00000000" w:rsidRPr="00000000">
            <w:fldChar w:fldCharType="begin"/>
            <w:instrText xml:space="preserve"> HYPERLINK \l "_salwi1i4573u"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eavrchjg2il6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2.2.2.2</w:t>
            </w:r>
          </w:hyperlink>
          <w:hyperlink w:anchor="_eavrchjg2il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_eavrchjg2il6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probabilidade</w:t>
            <w:tab/>
            <w:t xml:space="preserve">8</w:t>
          </w:r>
          <w:r w:rsidDel="00000000" w:rsidR="00000000" w:rsidRPr="00000000">
            <w:fldChar w:fldCharType="begin"/>
            <w:instrText xml:space="preserve"> HYPERLINK \l "_eavrchjg2il6"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1dl4hjjdlkt0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2.2.2.3</w:t>
            </w:r>
          </w:hyperlink>
          <w:hyperlink w:anchor="_1dl4hjjdlkt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_1dl4hjjdlkt0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Limites de aceitação de risco</w:t>
            <w:tab/>
            <w:t xml:space="preserve">8</w:t>
          </w:r>
          <w:r w:rsidDel="00000000" w:rsidR="00000000" w:rsidRPr="00000000">
            <w:fldChar w:fldCharType="begin"/>
            <w:instrText xml:space="preserve"> HYPERLINK \l "_1dl4hjjdlkt0"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d8tuq32jemf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d8tuq32jemf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_d8tuq32jemfy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Avaliação de tendências e ameaças</w:t>
            <w:tab/>
            <w:t xml:space="preserve">9</w:t>
          </w:r>
          <w:r w:rsidDel="00000000" w:rsidR="00000000" w:rsidRPr="00000000">
            <w:fldChar w:fldCharType="begin"/>
            <w:instrText xml:space="preserve"> HYPERLINK \l "_d8tuq32jemfy"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mhfnk2dwafs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mhfnk2dwafs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_mhfnk2dwafs3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Modelação do contexto</w:t>
            <w:tab/>
            <w:t xml:space="preserve">10</w:t>
          </w:r>
          <w:r w:rsidDel="00000000" w:rsidR="00000000" w:rsidRPr="00000000">
            <w:fldChar w:fldCharType="begin"/>
            <w:instrText xml:space="preserve"> HYPERLINK \l "_mhfnk2dwafs3"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2d2hwxx6suw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2d2hwxx6suw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_2d2hwxx6suwm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ativos</w:t>
            <w:tab/>
            <w:t xml:space="preserve">10</w:t>
          </w:r>
          <w:r w:rsidDel="00000000" w:rsidR="00000000" w:rsidRPr="00000000">
            <w:fldChar w:fldCharType="begin"/>
            <w:instrText xml:space="preserve"> HYPERLINK \l "_2d2hwxx6suwm"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f2ucvces0m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of2ucvces0m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_of2ucvces0mj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das vulnerabilidades</w:t>
            <w:tab/>
            <w:t xml:space="preserve">10</w:t>
          </w:r>
          <w:r w:rsidDel="00000000" w:rsidR="00000000" w:rsidRPr="00000000">
            <w:fldChar w:fldCharType="begin"/>
            <w:instrText xml:space="preserve"> HYPERLINK \l "_of2ucvces0mj"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t8jjnowdtos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t8jjnowdtos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_t8jjnowdtosh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Avaliação das consequências</w:t>
            <w:tab/>
            <w:t xml:space="preserve">10</w:t>
          </w:r>
          <w:r w:rsidDel="00000000" w:rsidR="00000000" w:rsidRPr="00000000">
            <w:fldChar w:fldCharType="begin"/>
            <w:instrText xml:space="preserve"> HYPERLINK \l "_t8jjnowdtosh"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m57tag3ivf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m57tag3ivf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_m57tag3ivfz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Avaliação e tratamento dos riscos</w:t>
            <w:tab/>
            <w:t xml:space="preserve">11</w:t>
          </w:r>
          <w:r w:rsidDel="00000000" w:rsidR="00000000" w:rsidRPr="00000000">
            <w:fldChar w:fldCharType="begin"/>
            <w:instrText xml:space="preserve"> HYPERLINK \l "_m57tag3ivfz"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fs80kly0x2r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fs80kly0x2r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_fs80kly0x2rg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Resumo da avaliação de riscos</w:t>
            <w:tab/>
            <w:t xml:space="preserve">11</w:t>
          </w:r>
          <w:r w:rsidDel="00000000" w:rsidR="00000000" w:rsidRPr="00000000">
            <w:fldChar w:fldCharType="begin"/>
            <w:instrText xml:space="preserve"> HYPERLINK \l "_fs80kly0x2rg"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6c8ek1mqm29a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</w:t>
            </w:r>
          </w:hyperlink>
          <w:hyperlink w:anchor="_6c8ek1mqm29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_6c8ek1mqm29a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de informação</w:t>
            <w:tab/>
            <w:t xml:space="preserve">11</w:t>
          </w:r>
          <w:r w:rsidDel="00000000" w:rsidR="00000000" w:rsidRPr="00000000">
            <w:fldChar w:fldCharType="begin"/>
            <w:instrText xml:space="preserve"> HYPERLINK \l "_6c8ek1mqm29a"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58fcju6597gj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</w:t>
            </w:r>
          </w:hyperlink>
          <w:hyperlink w:anchor="_58fcju6597g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_58fcju6597gj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operacionais</w:t>
            <w:tab/>
            <w:t xml:space="preserve">11</w:t>
          </w:r>
          <w:r w:rsidDel="00000000" w:rsidR="00000000" w:rsidRPr="00000000">
            <w:fldChar w:fldCharType="begin"/>
            <w:instrText xml:space="preserve"> HYPERLINK \l "_58fcju6597gj"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ylmwnajfvvo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ylmwnajfvvo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_ylmwnajfvvo2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Tratamento dos riscos</w:t>
            <w:tab/>
            <w:t xml:space="preserve">12</w:t>
          </w:r>
          <w:r w:rsidDel="00000000" w:rsidR="00000000" w:rsidRPr="00000000">
            <w:fldChar w:fldCharType="begin"/>
            <w:instrText xml:space="preserve"> HYPERLINK \l "_ylmwnajfvvo2"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vikbilhc5k2z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vikbilhc5k2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_vikbilhc5k2z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Tipo de tratamento</w:t>
            <w:tab/>
            <w:t xml:space="preserve">12</w:t>
          </w:r>
          <w:r w:rsidDel="00000000" w:rsidR="00000000" w:rsidRPr="00000000">
            <w:fldChar w:fldCharType="begin"/>
            <w:instrText xml:space="preserve"> HYPERLINK \l "_vikbilhc5k2z"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44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ktgc65xivnmt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ktgc65xivnm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_ktgc65xivnmt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tratamento</w:t>
            <w:tab/>
            <w:t xml:space="preserve">12</w:t>
          </w:r>
          <w:r w:rsidDel="00000000" w:rsidR="00000000" w:rsidRPr="00000000">
            <w:fldChar w:fldCharType="begin"/>
            <w:instrText xml:space="preserve"> HYPERLINK \l "_ktgc65xivnmt"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btl66v4agcl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A: Entrevista e recolha de informações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qf1dcotdw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B: Avaliação de tendências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z5onkucoa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C: Avaliação das ameaças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f9o1yqe3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D: Contexto dos ativos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7fto392n6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E: Responsáveis pelo risco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xieody3z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Apêndice F: Notas e comentários do consultor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ok5qki8ur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Riscos de informação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0" w:before="0" w:line="240" w:lineRule="auto"/>
            <w:ind w:left="220" w:right="-4.72440944881782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h2q6asfl2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Riscos operacionais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ind w:right="-4.724409448817823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spacing w:after="200" w:line="276" w:lineRule="auto"/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432" w:right="-4.724409448817823" w:hanging="432"/>
        <w:rPr>
          <w:rFonts w:ascii="Arial" w:cs="Arial" w:eastAsia="Arial" w:hAnsi="Arial"/>
          <w:color w:val="231f20"/>
        </w:rPr>
      </w:pPr>
      <w:bookmarkStart w:colFirst="0" w:colLast="0" w:name="_y2nbkj4441f3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Introdução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w8mpuavxg4yp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Colocar a análise de risco em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4.724409448817823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spacing w:before="0" w:lineRule="auto"/>
        <w:ind w:left="576" w:right="-4.724409448817823" w:hanging="576"/>
        <w:rPr/>
      </w:pPr>
      <w:bookmarkStart w:colFirst="0" w:colLast="0" w:name="_6widsnpimhac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Objetivos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Este documento fornece um resumo do método e apresenta os resultados da análise de riscos realizada com o MONARC no ambiente do cliente. O MONARC segue a norma internacional ISO 27005:2011.</w:t>
      </w:r>
    </w:p>
    <w:p w:rsidR="00000000" w:rsidDel="00000000" w:rsidP="00000000" w:rsidRDefault="00000000" w:rsidRPr="00000000" w14:paraId="00000055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Os resultados obtidos visam identificar os principais riscos, compreender o nível de segurança existente e fornecer recomendações para a implementação de medidas de segurança. As partes reconhecem que as recomendações não são exclusivas nem exaustivas.</w:t>
      </w:r>
    </w:p>
    <w:p w:rsidR="00000000" w:rsidDel="00000000" w:rsidP="00000000" w:rsidRDefault="00000000" w:rsidRPr="00000000" w14:paraId="00000056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lista de riscos identificados baseia-se nas informações fornecidas pelo Cliente e/ou pelos seus representantes, sem que tenham sido realizadas verificações adicionais. A Luxembourg House of Cybersecurity não pode ser responsabilizada por quaisquer omissões ou erros resultantes da análise desta avaliação, que possam ser imputáveis a qualquer parte envolvida ou a terceiros.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wyej7ctisx30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-4.724409448817823" w:hanging="360"/>
        <w:jc w:val="both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ISO/IEC 27005 (2011), Gestão dos riscos associados à segurança da informação.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-4.724409448817823" w:hanging="360"/>
        <w:jc w:val="both"/>
        <w:rPr>
          <w:rFonts w:ascii="Arial" w:cs="Arial" w:eastAsia="Arial" w:hAnsi="Arial"/>
          <w:color w:val="231f20"/>
        </w:rPr>
      </w:pPr>
      <w:hyperlink r:id="rId7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308aa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http://www.iso.org/iso/en/catalogue_detail?csnumber=56742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A norma ISO 27005 explica em pormenor como realizar uma avaliação de riscos e abordar os riscos relacionados com a segurança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x58ft5m8taw2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Acrónimos/Glossário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Ativo: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Qualquer item de valor para a instituição.  </w:t>
      </w:r>
    </w:p>
    <w:p w:rsidR="00000000" w:rsidDel="00000000" w:rsidP="00000000" w:rsidRDefault="00000000" w:rsidRPr="00000000" w14:paraId="0000005C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Confidencialidade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A característica de a informação não estar disponível nem ser divulgada a indivíduos, entidades ou processos não autorizados.</w:t>
      </w:r>
    </w:p>
    <w:p w:rsidR="00000000" w:rsidDel="00000000" w:rsidP="00000000" w:rsidRDefault="00000000" w:rsidRPr="00000000" w14:paraId="0000005D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Disponibilidade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O atributo de ser acessível e utilizável mediante pedido de uma entidade autorizada.</w:t>
      </w:r>
    </w:p>
    <w:p w:rsidR="00000000" w:rsidDel="00000000" w:rsidP="00000000" w:rsidRDefault="00000000" w:rsidRPr="00000000" w14:paraId="0000005E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O atributo de preservar a exatidão e a integridade de um item.</w:t>
      </w:r>
    </w:p>
    <w:p w:rsidR="00000000" w:rsidDel="00000000" w:rsidP="00000000" w:rsidRDefault="00000000" w:rsidRPr="00000000" w14:paraId="0000005F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Método de Análise de Risco Otimizado CASES.</w:t>
      </w:r>
    </w:p>
    <w:p w:rsidR="00000000" w:rsidDel="00000000" w:rsidP="00000000" w:rsidRDefault="00000000" w:rsidRPr="00000000" w14:paraId="00000060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8gae0247f4uz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Descrição do «Método de Análise de Risco Otimizado CASES» (MONARC)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 método de análise de risco MONARC é composto por quatro fases:</w:t>
      </w:r>
    </w:p>
    <w:p w:rsidR="00000000" w:rsidDel="00000000" w:rsidP="00000000" w:rsidRDefault="00000000" w:rsidRPr="00000000" w14:paraId="00000063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160640</wp:posOffset>
            </wp:positionV>
            <wp:extent cx="4208212" cy="2786736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3" l="0" r="0" t="73"/>
                    <a:stretch>
                      <a:fillRect/>
                    </a:stretch>
                  </pic:blipFill>
                  <pic:spPr>
                    <a:xfrm>
                      <a:off x="0" y="0"/>
                      <a:ext cx="4208212" cy="27867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Mais especificamente:</w:t>
      </w:r>
    </w:p>
    <w:p w:rsidR="00000000" w:rsidDel="00000000" w:rsidP="00000000" w:rsidRDefault="00000000" w:rsidRPr="00000000" w14:paraId="00000073">
      <w:pPr>
        <w:tabs>
          <w:tab w:val="center" w:leader="none" w:pos="4833"/>
        </w:tabs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center" w:leader="none" w:pos="4833"/>
        </w:tabs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center" w:leader="none" w:pos="4833"/>
        </w:tabs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</w:rPr>
        <w:drawing>
          <wp:inline distB="114300" distT="114300" distL="114300" distR="114300">
            <wp:extent cx="6480000" cy="534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96" r="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 MONARC simplifica a gestão de riscos, oferecendo uma solução de gestão de riscos, bem como governança de segurança da informação, com base em normas da indústria. Permite que a análise a partir de modelos existentes e personalizáveis seja realizada num curto espaço de tempo, mantendo a conformidade com a norma internacional ISO/IEC 27005:2011.</w:t>
      </w:r>
    </w:p>
    <w:p w:rsidR="00000000" w:rsidDel="00000000" w:rsidP="00000000" w:rsidRDefault="00000000" w:rsidRPr="00000000" w14:paraId="00000077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 MONARC baseia-se numa biblioteca de modelos de risco que oferece objetos constituídos por cenários de risco por ativos ou grupos de ativos. Esta abordagem facilita a gestão dos riscos mais comuns e proporciona vantagens em termos de objetividade e eficiência. Como o MONARC é totalmente repetível, estes resultados podem ser aprofundados e ajustados à maturidade de cada organização, aumentando a profundidade dos cenários de risco.</w:t>
      </w:r>
    </w:p>
    <w:p w:rsidR="00000000" w:rsidDel="00000000" w:rsidP="00000000" w:rsidRDefault="00000000" w:rsidRPr="00000000" w14:paraId="00000078">
      <w:pPr>
        <w:spacing w:before="240" w:lineRule="auto"/>
        <w:ind w:right="-4.724409448817823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Definição do Contexto</w:t>
      </w:r>
    </w:p>
    <w:p w:rsidR="00000000" w:rsidDel="00000000" w:rsidP="00000000" w:rsidRDefault="00000000" w:rsidRPr="00000000" w14:paraId="00000079">
      <w:pPr>
        <w:spacing w:before="24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 primeiro passo consiste em fazer um balanço do contexto, dos desafios e das prioridades da empresa ou organização que pretende analisar os seus riscos. Isto serve, em particular, para identificar as atividades-chave e os processos críticos do negócio, a fim de orientar a análise de riscos para os elementos mais importantes. Para tal, é organizada uma reunião inicial com os membros da direção e os principais responsáveis. O objetivo é saber o que faz a empresa «viver» e o que a poderia destruir, para identificar os processos-chave, as ameaças internas e externas, bem como as vulnerabilidades organizacionais, técnicas e humanas.</w:t>
      </w:r>
    </w:p>
    <w:p w:rsidR="00000000" w:rsidDel="00000000" w:rsidP="00000000" w:rsidRDefault="00000000" w:rsidRPr="00000000" w14:paraId="0000007A">
      <w:pPr>
        <w:spacing w:after="0" w:lineRule="auto"/>
        <w:ind w:right="-4.724409448817823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Modelagem do Contexto</w:t>
      </w:r>
    </w:p>
    <w:p w:rsidR="00000000" w:rsidDel="00000000" w:rsidP="00000000" w:rsidRDefault="00000000" w:rsidRPr="00000000" w14:paraId="0000007B">
      <w:pPr>
        <w:spacing w:after="0" w:lineRule="auto"/>
        <w:ind w:right="-4.724409448817823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Esta fase inclui a modelação de objetos e árvores. Os ativos foram identificados na fase anterior. Devem agora ser detalhados e formalizados num diagrama que mostre as suas interdependências.</w:t>
      </w:r>
    </w:p>
    <w:p w:rsidR="00000000" w:rsidDel="00000000" w:rsidP="00000000" w:rsidRDefault="00000000" w:rsidRPr="00000000" w14:paraId="0000007D">
      <w:pPr>
        <w:spacing w:before="24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Os impactos são definidos ao nível dos ativos primários (processos ou informação), com base na informação recolhida na fase de estabelecimento do contexto. Os ativos secundários herdam o impacto do ativo primário ao qual estão associados (árvore de objetos). O nível de impacto dos ativos secundários pode ser modificado manualmente.</w:t>
      </w:r>
    </w:p>
    <w:p w:rsidR="00000000" w:rsidDel="00000000" w:rsidP="00000000" w:rsidRDefault="00000000" w:rsidRPr="00000000" w14:paraId="0000007E">
      <w:pPr>
        <w:spacing w:after="0" w:lineRule="auto"/>
        <w:ind w:right="-4.724409448817823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Avaliação e tratamento de riscos</w:t>
      </w:r>
    </w:p>
    <w:p w:rsidR="00000000" w:rsidDel="00000000" w:rsidP="00000000" w:rsidRDefault="00000000" w:rsidRPr="00000000" w14:paraId="0000007F">
      <w:pPr>
        <w:spacing w:after="0" w:lineRule="auto"/>
        <w:ind w:right="-4.724409448817823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avaliação consiste em quantificar as ameaças, vulnerabilidades e impactos, a fim de calcular os riscos.</w:t>
      </w:r>
    </w:p>
    <w:p w:rsidR="00000000" w:rsidDel="00000000" w:rsidP="00000000" w:rsidRDefault="00000000" w:rsidRPr="00000000" w14:paraId="00000081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Para tal, é necessário dispor de informação de qualidade sobre a probabilidade exata das ameaças, a facilidade de exploração das vulnerabilidades e os impactos potenciais; daí a necessidade de recorrer a métricas validadas por especialistas.</w:t>
      </w:r>
    </w:p>
    <w:p w:rsidR="00000000" w:rsidDel="00000000" w:rsidP="00000000" w:rsidRDefault="00000000" w:rsidRPr="00000000" w14:paraId="00000082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Quando a avaliação de riscos identifica um risco superior ao nível aceitável (grelha de aceitação de riscos), devem ser implementadas medidas de tratamento de riscos, a fim de reduzir o risco para um nível aceitável.</w:t>
      </w:r>
    </w:p>
    <w:p w:rsidR="00000000" w:rsidDel="00000000" w:rsidP="00000000" w:rsidRDefault="00000000" w:rsidRPr="00000000" w14:paraId="00000083">
      <w:pPr>
        <w:spacing w:before="240" w:lineRule="auto"/>
        <w:ind w:right="-4.724409448817823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Implementação e monitorização</w:t>
      </w:r>
    </w:p>
    <w:p w:rsidR="00000000" w:rsidDel="00000000" w:rsidP="00000000" w:rsidRDefault="00000000" w:rsidRPr="00000000" w14:paraId="00000084">
      <w:pPr>
        <w:spacing w:before="24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Após a realização do primeiro tratamento dos riscos, deve-se entrar numa fase de gestão contínua com monitorização da segurança e controlo recorrente das medidas de segurança, a fim de a melhorar de forma sustentável.</w:t>
      </w:r>
    </w:p>
    <w:p w:rsidR="00000000" w:rsidDel="00000000" w:rsidP="00000000" w:rsidRDefault="00000000" w:rsidRPr="00000000" w14:paraId="00000085">
      <w:pPr>
        <w:spacing w:before="24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Esta quarta fase permite também otimizar continuamente a segurança, aumentando o nível de detalhe dos objetos utilizados e alargando o âmbito da análise de riscos.</w:t>
      </w:r>
    </w:p>
    <w:p w:rsidR="00000000" w:rsidDel="00000000" w:rsidP="00000000" w:rsidRDefault="00000000" w:rsidRPr="00000000" w14:paraId="00000086">
      <w:pPr>
        <w:spacing w:before="24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1"/>
        </w:numPr>
        <w:ind w:left="432" w:right="-4.724409448817823" w:hanging="432"/>
        <w:rPr>
          <w:rFonts w:ascii="Arial" w:cs="Arial" w:eastAsia="Arial" w:hAnsi="Arial"/>
          <w:color w:val="231f20"/>
        </w:rPr>
      </w:pPr>
      <w:bookmarkStart w:colFirst="0" w:colLast="0" w:name="_mu2fgpflwsw5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Estabelecimento do contexto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spacing w:before="0" w:lineRule="auto"/>
        <w:ind w:left="576" w:right="-4.724409448817823" w:hanging="576"/>
        <w:rPr/>
      </w:pPr>
      <w:bookmarkStart w:colFirst="0" w:colLast="0" w:name="_tklr2wrtqawx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Descrição do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${CONTEXT_GEST_RISK}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"/>
        </w:numPr>
        <w:spacing w:before="0" w:lineRule="auto"/>
        <w:ind w:left="576" w:right="-4.724409448817823" w:hanging="576"/>
        <w:rPr/>
      </w:pPr>
      <w:bookmarkStart w:colFirst="0" w:colLast="0" w:name="_fczefkry6llw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Definição dos critérios de avaliação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numPr>
          <w:ilvl w:val="2"/>
          <w:numId w:val="1"/>
        </w:numPr>
        <w:ind w:left="709" w:right="-4.724409448817823" w:hanging="720"/>
        <w:rPr>
          <w:rFonts w:ascii="Arial" w:cs="Arial" w:eastAsia="Arial" w:hAnsi="Arial"/>
          <w:color w:val="231f20"/>
        </w:rPr>
      </w:pPr>
      <w:bookmarkStart w:colFirst="0" w:colLast="0" w:name="_xwwqsnwvpot1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de informação</w:t>
      </w:r>
    </w:p>
    <w:p w:rsidR="00000000" w:rsidDel="00000000" w:rsidP="00000000" w:rsidRDefault="00000000" w:rsidRPr="00000000" w14:paraId="0000008C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4zcm3fgb0swd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impacto</w:t>
      </w:r>
    </w:p>
    <w:p w:rsidR="00000000" w:rsidDel="00000000" w:rsidP="00000000" w:rsidRDefault="00000000" w:rsidRPr="00000000" w14:paraId="0000008D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apresenta a escala de impactos e consequências que podem representar um risco para a instituição. 0 representa ausência de impacto, pelo que não existe risco.</w:t>
      </w:r>
    </w:p>
    <w:p w:rsidR="00000000" w:rsidDel="00000000" w:rsidP="00000000" w:rsidRDefault="00000000" w:rsidRPr="00000000" w14:paraId="0000008E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${SCALE_IMPACT}</w:t>
      </w:r>
    </w:p>
    <w:p w:rsidR="00000000" w:rsidDel="00000000" w:rsidP="00000000" w:rsidRDefault="00000000" w:rsidRPr="00000000" w14:paraId="00000090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4mq4u9m554qt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ameaças</w:t>
      </w:r>
    </w:p>
    <w:p w:rsidR="00000000" w:rsidDel="00000000" w:rsidP="00000000" w:rsidRDefault="00000000" w:rsidRPr="00000000" w14:paraId="00000091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mostra a escala de probabilidade de uma ameaça ocorrer.</w:t>
      </w:r>
    </w:p>
    <w:p w:rsidR="00000000" w:rsidDel="00000000" w:rsidP="00000000" w:rsidRDefault="00000000" w:rsidRPr="00000000" w14:paraId="00000092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${SCALE_THREAT}</w:t>
      </w:r>
    </w:p>
    <w:p w:rsidR="00000000" w:rsidDel="00000000" w:rsidP="00000000" w:rsidRDefault="00000000" w:rsidRPr="00000000" w14:paraId="00000094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oevtv01vjp00" w:id="13"/>
      <w:bookmarkEnd w:id="1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vulnerabilidade</w:t>
      </w:r>
    </w:p>
    <w:p w:rsidR="00000000" w:rsidDel="00000000" w:rsidP="00000000" w:rsidRDefault="00000000" w:rsidRPr="00000000" w14:paraId="00000095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mostra a escala de vulnerabilidade do ativo em questão. A avaliação da vulnerabilidade tem em conta as medidas de segurança implementadas.</w:t>
      </w:r>
    </w:p>
    <w:p w:rsidR="00000000" w:rsidDel="00000000" w:rsidP="00000000" w:rsidRDefault="00000000" w:rsidRPr="00000000" w14:paraId="00000096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-4.724409448817823"/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${SCALE_VULN}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ind w:right="-4.724409448817823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5nf2tesshbzu" w:id="14"/>
      <w:bookmarkEnd w:id="1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Limites de aceitação de risco</w:t>
      </w:r>
    </w:p>
    <w:p w:rsidR="00000000" w:rsidDel="00000000" w:rsidP="00000000" w:rsidRDefault="00000000" w:rsidRPr="00000000" w14:paraId="0000009A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apresenta os cálculos de risco. As cores têm caráter meramente informativo e devem ser aceites e/ou alteradas pelo Conselho de Administração / Comissão Executiva. </w:t>
      </w:r>
    </w:p>
    <w:p w:rsidR="00000000" w:rsidDel="00000000" w:rsidP="00000000" w:rsidRDefault="00000000" w:rsidRPr="00000000" w14:paraId="0000009B">
      <w:pPr>
        <w:ind w:right="-4.724409448817823"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Vermelho: Um risco inaceitável que requer ação</w:t>
      </w:r>
    </w:p>
    <w:p w:rsidR="00000000" w:rsidDel="00000000" w:rsidP="00000000" w:rsidRDefault="00000000" w:rsidRPr="00000000" w14:paraId="0000009C">
      <w:pPr>
        <w:ind w:left="2127" w:right="-4.724409448817823" w:hanging="1418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Laranja: Um risco médio que pode ou não exigir ação, dependendo do caso</w:t>
      </w:r>
    </w:p>
    <w:p w:rsidR="00000000" w:rsidDel="00000000" w:rsidP="00000000" w:rsidRDefault="00000000" w:rsidRPr="00000000" w14:paraId="0000009D">
      <w:pPr>
        <w:ind w:right="-4.724409448817823"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Verde: Risco baixo que não requer ação   </w:t>
      </w:r>
    </w:p>
    <w:p w:rsidR="00000000" w:rsidDel="00000000" w:rsidP="00000000" w:rsidRDefault="00000000" w:rsidRPr="00000000" w14:paraId="0000009E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${TABLE_RISKS}</w:t>
      </w:r>
    </w:p>
    <w:p w:rsidR="00000000" w:rsidDel="00000000" w:rsidP="00000000" w:rsidRDefault="00000000" w:rsidRPr="00000000" w14:paraId="0000009F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1"/>
        </w:numPr>
        <w:ind w:left="709" w:right="-4.724409448817823" w:hanging="720"/>
        <w:rPr>
          <w:rFonts w:ascii="Arial" w:cs="Arial" w:eastAsia="Arial" w:hAnsi="Arial"/>
          <w:color w:val="231f20"/>
        </w:rPr>
      </w:pPr>
      <w:bookmarkStart w:colFirst="0" w:colLast="0" w:name="_lcpbay598rg6" w:id="15"/>
      <w:bookmarkEnd w:id="1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operacionais</w:t>
      </w:r>
    </w:p>
    <w:p w:rsidR="00000000" w:rsidDel="00000000" w:rsidP="00000000" w:rsidRDefault="00000000" w:rsidRPr="00000000" w14:paraId="000000A1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salwi1i4573u" w:id="16"/>
      <w:bookmarkEnd w:id="1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impacto</w:t>
      </w:r>
    </w:p>
    <w:p w:rsidR="00000000" w:rsidDel="00000000" w:rsidP="00000000" w:rsidRDefault="00000000" w:rsidRPr="00000000" w14:paraId="000000A2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${OP_RISKS_SCALE_IMPACT}</w:t>
      </w:r>
    </w:p>
    <w:p w:rsidR="00000000" w:rsidDel="00000000" w:rsidP="00000000" w:rsidRDefault="00000000" w:rsidRPr="00000000" w14:paraId="000000A3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eavrchjg2il6" w:id="17"/>
      <w:bookmarkEnd w:id="1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probabilidade</w:t>
      </w:r>
    </w:p>
    <w:p w:rsidR="00000000" w:rsidDel="00000000" w:rsidP="00000000" w:rsidRDefault="00000000" w:rsidRPr="00000000" w14:paraId="000000A4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${OP_RISKS_SCALE_LIKELIHOOD}</w:t>
      </w:r>
    </w:p>
    <w:p w:rsidR="00000000" w:rsidDel="00000000" w:rsidP="00000000" w:rsidRDefault="00000000" w:rsidRPr="00000000" w14:paraId="000000A5">
      <w:pPr>
        <w:pStyle w:val="Heading3"/>
        <w:numPr>
          <w:ilvl w:val="3"/>
          <w:numId w:val="1"/>
        </w:numPr>
        <w:ind w:left="864" w:right="-4.724409448817823" w:hanging="864"/>
        <w:rPr>
          <w:rFonts w:ascii="Arial" w:cs="Arial" w:eastAsia="Arial" w:hAnsi="Arial"/>
          <w:color w:val="231f20"/>
        </w:rPr>
      </w:pPr>
      <w:bookmarkStart w:colFirst="0" w:colLast="0" w:name="_1dl4hjjdlkt0" w:id="18"/>
      <w:bookmarkEnd w:id="1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Limites de aceitação de risco</w:t>
      </w:r>
    </w:p>
    <w:p w:rsidR="00000000" w:rsidDel="00000000" w:rsidP="00000000" w:rsidRDefault="00000000" w:rsidRPr="00000000" w14:paraId="000000A6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${TABLE_OP_RISKS}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"/>
        </w:numPr>
        <w:spacing w:before="0" w:lineRule="auto"/>
        <w:ind w:left="576" w:right="-4.724409448817823" w:hanging="576"/>
        <w:rPr/>
      </w:pPr>
      <w:bookmarkStart w:colFirst="0" w:colLast="0" w:name="_d8tuq32jemfy" w:id="19"/>
      <w:bookmarkEnd w:id="1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Avaliação de tendências e ameaças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40" w:lineRule="auto"/>
        <w:ind w:right="-4.724409448817823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${SYNTH_EVAL_THREAT}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apresenta as ameaças que exigiram especial atenção.</w:t>
      </w:r>
    </w:p>
    <w:p w:rsidR="00000000" w:rsidDel="00000000" w:rsidP="00000000" w:rsidRDefault="00000000" w:rsidRPr="00000000" w14:paraId="000000AA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${TABLE_THREATS}</w:t>
      </w:r>
    </w:p>
    <w:p w:rsidR="00000000" w:rsidDel="00000000" w:rsidP="00000000" w:rsidRDefault="00000000" w:rsidRPr="00000000" w14:paraId="000000AC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1"/>
        </w:numPr>
        <w:ind w:left="432" w:right="-4.724409448817823" w:hanging="432"/>
        <w:rPr>
          <w:rFonts w:ascii="Arial" w:cs="Arial" w:eastAsia="Arial" w:hAnsi="Arial"/>
          <w:color w:val="231f20"/>
        </w:rPr>
      </w:pPr>
      <w:bookmarkStart w:colFirst="0" w:colLast="0" w:name="_mhfnk2dwafs3" w:id="20"/>
      <w:bookmarkEnd w:id="2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Modelação do contexto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2d2hwxx6suwm" w:id="21"/>
      <w:bookmarkEnd w:id="2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Identificação dos ativos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ind w:right="-4.724409448817823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${SYNTH_ACTIF}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of2ucvces0mj" w:id="22"/>
      <w:bookmarkEnd w:id="2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Identificação das vulnerabilidades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utilização da modelação MONARC e dos seus objetos permite identificar vulnerabilidades com detalhe suficiente para uma análise de risco repetida. </w:t>
      </w:r>
    </w:p>
    <w:p w:rsidR="00000000" w:rsidDel="00000000" w:rsidP="00000000" w:rsidRDefault="00000000" w:rsidRPr="00000000" w14:paraId="000000B2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No entanto, cabe aos consultores a decisão de incluir novos riscos contextuais que descubram durante a missão.</w:t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1"/>
        </w:numPr>
        <w:ind w:left="576" w:right="-4.724409448817823" w:hanging="576"/>
        <w:rPr/>
      </w:pPr>
      <w:bookmarkStart w:colFirst="0" w:colLast="0" w:name="_t8jjnowdtosh" w:id="23"/>
      <w:bookmarkEnd w:id="2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Avaliação das consequências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mostra os impactos para os ativos essenciais da ${COMPANY}.</w:t>
      </w:r>
    </w:p>
    <w:p w:rsidR="00000000" w:rsidDel="00000000" w:rsidP="00000000" w:rsidRDefault="00000000" w:rsidRPr="00000000" w14:paraId="000000B5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Para poupar tempo, todos os ativos secundários que serão introduzidos no modelo de ativos essenciais receberão estes impactos por predefinição, podendo depois ser ajustados manualmente.</w:t>
      </w:r>
    </w:p>
    <w:p w:rsidR="00000000" w:rsidDel="00000000" w:rsidP="00000000" w:rsidRDefault="00000000" w:rsidRPr="00000000" w14:paraId="000000B6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${IMPACTS_APPRECIATION}</w:t>
      </w:r>
    </w:p>
    <w:p w:rsidR="00000000" w:rsidDel="00000000" w:rsidP="00000000" w:rsidRDefault="00000000" w:rsidRPr="00000000" w14:paraId="000000B8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1"/>
        </w:numPr>
        <w:ind w:left="432" w:right="-4.724409448817823" w:hanging="432"/>
        <w:rPr>
          <w:rFonts w:ascii="Arial" w:cs="Arial" w:eastAsia="Arial" w:hAnsi="Arial"/>
          <w:color w:val="231f20"/>
        </w:rPr>
      </w:pPr>
      <w:bookmarkStart w:colFirst="0" w:colLast="0" w:name="_m57tag3ivfz" w:id="24"/>
      <w:bookmarkEnd w:id="2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Avaliação e tratamento de riscos</w:t>
      </w:r>
    </w:p>
    <w:p w:rsidR="00000000" w:rsidDel="00000000" w:rsidP="00000000" w:rsidRDefault="00000000" w:rsidRPr="00000000" w14:paraId="000000BA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Os resultados da recolha de informações diversas, codificação e avaliações são processados no software MONARC e estão disponíveis para o cliente. Algumas destas informações também podem ser encontradas em anexo a este documento.</w:t>
      </w:r>
    </w:p>
    <w:p w:rsidR="00000000" w:rsidDel="00000000" w:rsidP="00000000" w:rsidRDefault="00000000" w:rsidRPr="00000000" w14:paraId="000000BB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parte seguinte deste capítulo apresenta os resultados e recomendações que completam esta análise de risco.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ind w:left="567" w:right="-4.724409448817823" w:hanging="576"/>
        <w:rPr/>
      </w:pPr>
      <w:bookmarkStart w:colFirst="0" w:colLast="0" w:name="_fs80kly0x2rg" w:id="25"/>
      <w:bookmarkEnd w:id="2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Resumo da avaliação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${SUMMARY_EVAL_RISK}</w:t>
      </w:r>
    </w:p>
    <w:p w:rsidR="00000000" w:rsidDel="00000000" w:rsidP="00000000" w:rsidRDefault="00000000" w:rsidRPr="00000000" w14:paraId="000000BE">
      <w:pPr>
        <w:pStyle w:val="Heading3"/>
        <w:numPr>
          <w:ilvl w:val="2"/>
          <w:numId w:val="1"/>
        </w:numPr>
        <w:ind w:left="709" w:right="-4.724409448817823" w:hanging="720"/>
        <w:rPr>
          <w:rFonts w:ascii="Arial" w:cs="Arial" w:eastAsia="Arial" w:hAnsi="Arial"/>
          <w:color w:val="231f20"/>
        </w:rPr>
      </w:pPr>
      <w:bookmarkStart w:colFirst="0" w:colLast="0" w:name="_6c8ek1mqm29a" w:id="26"/>
      <w:bookmarkEnd w:id="2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de informação</w:t>
      </w:r>
    </w:p>
    <w:p w:rsidR="00000000" w:rsidDel="00000000" w:rsidP="00000000" w:rsidRDefault="00000000" w:rsidRPr="00000000" w14:paraId="000000BF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${DISTRIB_EVAL_RISK}</w:t>
      </w:r>
    </w:p>
    <w:p w:rsidR="00000000" w:rsidDel="00000000" w:rsidP="00000000" w:rsidRDefault="00000000" w:rsidRPr="00000000" w14:paraId="000000C0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${GRAPH_EVAL_RISK}</w:t>
      </w:r>
    </w:p>
    <w:p w:rsidR="00000000" w:rsidDel="00000000" w:rsidP="00000000" w:rsidRDefault="00000000" w:rsidRPr="00000000" w14:paraId="000000C2">
      <w:pPr>
        <w:pStyle w:val="Heading3"/>
        <w:numPr>
          <w:ilvl w:val="2"/>
          <w:numId w:val="1"/>
        </w:numPr>
        <w:ind w:left="709" w:right="-4.724409448817823" w:hanging="720"/>
        <w:rPr>
          <w:rFonts w:ascii="Arial" w:cs="Arial" w:eastAsia="Arial" w:hAnsi="Arial"/>
          <w:color w:val="231f20"/>
        </w:rPr>
      </w:pPr>
      <w:bookmarkStart w:colFirst="0" w:colLast="0" w:name="_58fcju6597gj" w:id="27"/>
      <w:bookmarkEnd w:id="2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operacionais</w:t>
      </w:r>
    </w:p>
    <w:p w:rsidR="00000000" w:rsidDel="00000000" w:rsidP="00000000" w:rsidRDefault="00000000" w:rsidRPr="00000000" w14:paraId="000000C3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${DISTRIB_EVAL_OP_RISK}</w:t>
      </w:r>
    </w:p>
    <w:p w:rsidR="00000000" w:rsidDel="00000000" w:rsidP="00000000" w:rsidRDefault="00000000" w:rsidRPr="00000000" w14:paraId="000000C4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${GRAPH_EVAL_OP_RISK}</w:t>
      </w:r>
    </w:p>
    <w:p w:rsidR="00000000" w:rsidDel="00000000" w:rsidP="00000000" w:rsidRDefault="00000000" w:rsidRPr="00000000" w14:paraId="000000C6">
      <w:pPr>
        <w:ind w:right="-4.724409448817823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-4.724409448817823"/>
        <w:rPr>
          <w:rFonts w:ascii="Arial" w:cs="Arial" w:eastAsia="Arial" w:hAnsi="Arial"/>
          <w:color w:val="231f20"/>
        </w:rPr>
        <w:sectPr>
          <w:headerReference r:id="rId10" w:type="default"/>
          <w:footerReference r:id="rId11" w:type="default"/>
          <w:pgSz w:h="16838" w:w="11906" w:orient="portrait"/>
          <w:pgMar w:bottom="1133.8582677165355" w:top="1133.8582677165355" w:left="850.3937007874016" w:right="850.3937007874016" w:header="562" w:footer="562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numPr>
          <w:ilvl w:val="1"/>
          <w:numId w:val="1"/>
        </w:numPr>
        <w:ind w:left="567" w:right="-4.724409448817823" w:hanging="576"/>
        <w:rPr/>
      </w:pPr>
      <w:bookmarkStart w:colFirst="0" w:colLast="0" w:name="_ylmwnajfvvo2" w:id="28"/>
      <w:bookmarkEnd w:id="2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Tratamento do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numPr>
          <w:ilvl w:val="2"/>
          <w:numId w:val="1"/>
        </w:numPr>
        <w:ind w:left="709" w:right="-4.724409448817823" w:hanging="720"/>
        <w:rPr>
          <w:rFonts w:ascii="Arial" w:cs="Arial" w:eastAsia="Arial" w:hAnsi="Arial"/>
          <w:color w:val="231f20"/>
        </w:rPr>
      </w:pPr>
      <w:bookmarkStart w:colFirst="0" w:colLast="0" w:name="_vikbilhc5k2z" w:id="29"/>
      <w:bookmarkEnd w:id="2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Tipo de tratamento</w:t>
      </w:r>
    </w:p>
    <w:p w:rsidR="00000000" w:rsidDel="00000000" w:rsidP="00000000" w:rsidRDefault="00000000" w:rsidRPr="00000000" w14:paraId="000000CA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${RISKS_KIND_OF_TREATMENT} </w:t>
      </w:r>
    </w:p>
    <w:p w:rsidR="00000000" w:rsidDel="00000000" w:rsidP="00000000" w:rsidRDefault="00000000" w:rsidRPr="00000000" w14:paraId="000000CB">
      <w:pPr>
        <w:pStyle w:val="Heading3"/>
        <w:numPr>
          <w:ilvl w:val="2"/>
          <w:numId w:val="1"/>
        </w:numPr>
        <w:ind w:left="709" w:right="-4.724409448817823" w:hanging="720"/>
        <w:rPr>
          <w:rFonts w:ascii="Arial" w:cs="Arial" w:eastAsia="Arial" w:hAnsi="Arial"/>
          <w:color w:val="231f20"/>
        </w:rPr>
      </w:pPr>
      <w:bookmarkStart w:colFirst="0" w:colLast="0" w:name="_ktgc65xivnmt" w:id="30"/>
      <w:bookmarkEnd w:id="3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Plano de tratamento</w:t>
      </w:r>
    </w:p>
    <w:p w:rsidR="00000000" w:rsidDel="00000000" w:rsidP="00000000" w:rsidRDefault="00000000" w:rsidRPr="00000000" w14:paraId="000000CC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seguinte contém as principais recomendações decorrentes da análise de risco e do plano de tratamento de risco. A avaliação e o desenvolvimento das recomendações utilizam a seguinte escala:</w:t>
      </w:r>
    </w:p>
    <w:p w:rsidR="00000000" w:rsidDel="00000000" w:rsidP="00000000" w:rsidRDefault="00000000" w:rsidRPr="00000000" w14:paraId="000000CD">
      <w:pPr>
        <w:ind w:left="1440" w:right="-4.724409448817823" w:hanging="72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●●●</w:t>
        <w:tab/>
        <w:t xml:space="preserve">: Recomendação que requer ação imediata.</w:t>
      </w:r>
    </w:p>
    <w:p w:rsidR="00000000" w:rsidDel="00000000" w:rsidP="00000000" w:rsidRDefault="00000000" w:rsidRPr="00000000" w14:paraId="000000CE">
      <w:pPr>
        <w:ind w:left="1440" w:right="-4.724409448817823" w:hanging="72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●●</w:t>
        <w:tab/>
        <w:t xml:space="preserve">: Recomendação que requer ação dedicada para corrigir uma vulnerabilidade ou uma boa prática que se revelou estar em falta.</w:t>
      </w:r>
    </w:p>
    <w:p w:rsidR="00000000" w:rsidDel="00000000" w:rsidP="00000000" w:rsidRDefault="00000000" w:rsidRPr="00000000" w14:paraId="000000CF">
      <w:pPr>
        <w:ind w:left="1440" w:right="-4.724409448817823" w:hanging="72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●</w:t>
        <w:tab/>
        <w:t xml:space="preserve">: Informação útil para a segurança, conselhos.</w:t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862" w:right="-4.724409448817823" w:hanging="86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bookmarkStart w:colFirst="0" w:colLast="0" w:name="_587mojazdr5g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Riscos de informação</w:t>
      </w:r>
    </w:p>
    <w:p w:rsidR="00000000" w:rsidDel="00000000" w:rsidP="00000000" w:rsidRDefault="00000000" w:rsidRPr="00000000" w14:paraId="000000D1">
      <w:pPr>
        <w:spacing w:after="200" w:before="240" w:line="276" w:lineRule="auto"/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${RISKS_RECO_FULL} </w:t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862" w:right="-4.724409448817823" w:hanging="86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bookmarkStart w:colFirst="0" w:colLast="0" w:name="_dn4tbzzn938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Riscos operacionais</w:t>
      </w:r>
    </w:p>
    <w:p w:rsidR="00000000" w:rsidDel="00000000" w:rsidP="00000000" w:rsidRDefault="00000000" w:rsidRPr="00000000" w14:paraId="000000D3">
      <w:pPr>
        <w:spacing w:after="200" w:line="276" w:lineRule="auto"/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${OPRISKS_RECO_FULL} </w:t>
      </w:r>
    </w:p>
    <w:p w:rsidR="00000000" w:rsidDel="00000000" w:rsidP="00000000" w:rsidRDefault="00000000" w:rsidRPr="00000000" w14:paraId="000000D4">
      <w:pPr>
        <w:spacing w:after="200" w:line="276" w:lineRule="auto"/>
        <w:ind w:right="-4.724409448817823"/>
        <w:jc w:val="left"/>
        <w:rPr>
          <w:rFonts w:ascii="Arial" w:cs="Arial" w:eastAsia="Arial" w:hAnsi="Arial"/>
          <w:color w:val="231f20"/>
        </w:rPr>
        <w:sectPr>
          <w:headerReference r:id="rId12" w:type="default"/>
          <w:headerReference r:id="rId13" w:type="first"/>
          <w:footerReference r:id="rId14" w:type="default"/>
          <w:type w:val="nextPage"/>
          <w:pgSz w:h="11906" w:w="16838" w:orient="landscape"/>
          <w:pgMar w:bottom="1133.8582677165355" w:top="1133.8582677165355" w:left="850.3937007874016" w:right="850.3937007874016" w:header="562" w:footer="562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btl66v4agclw" w:id="33"/>
      <w:bookmarkEnd w:id="3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A: Entrevistas e recolha de informações</w:t>
      </w:r>
    </w:p>
    <w:p w:rsidR="00000000" w:rsidDel="00000000" w:rsidP="00000000" w:rsidRDefault="00000000" w:rsidRPr="00000000" w14:paraId="000000D6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informação que tornou esta análise possível foi recolhida através de entrevistas com o pessoal-chave da área em questão — os gestores técnicos.</w:t>
      </w:r>
    </w:p>
    <w:p w:rsidR="00000000" w:rsidDel="00000000" w:rsidP="00000000" w:rsidRDefault="00000000" w:rsidRPr="00000000" w14:paraId="000000D7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Gostaríamos de agradecer às seguintes pessoas pelas suas contribuições ativas durante as entrevistas e as visitas realizadas no âmbito da nossa missão, listadas abaixo:</w:t>
      </w:r>
    </w:p>
    <w:p w:rsidR="00000000" w:rsidDel="00000000" w:rsidP="00000000" w:rsidRDefault="00000000" w:rsidRPr="00000000" w14:paraId="000000D8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DA">
      <w:pPr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vvqf1dcotdwu" w:id="34"/>
      <w:bookmarkEnd w:id="3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B: Avaliação de tendências</w:t>
      </w:r>
    </w:p>
    <w:p w:rsidR="00000000" w:rsidDel="00000000" w:rsidP="00000000" w:rsidRDefault="00000000" w:rsidRPr="00000000" w14:paraId="000000DC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${TABLE_EVAL_TEND}</w:t>
      </w:r>
    </w:p>
    <w:p w:rsidR="00000000" w:rsidDel="00000000" w:rsidP="00000000" w:rsidRDefault="00000000" w:rsidRPr="00000000" w14:paraId="000000DD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z0z5onkucoax" w:id="35"/>
      <w:bookmarkEnd w:id="3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Anexo C: Avaliação das ameaças</w:t>
      </w:r>
    </w:p>
    <w:p w:rsidR="00000000" w:rsidDel="00000000" w:rsidP="00000000" w:rsidRDefault="00000000" w:rsidRPr="00000000" w14:paraId="000000DF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${TABLE_THREATS_FULL}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e0f9o1yqe3pf" w:id="36"/>
      <w:bookmarkEnd w:id="3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D: Contexto dos ativos</w:t>
      </w:r>
    </w:p>
    <w:p w:rsidR="00000000" w:rsidDel="00000000" w:rsidP="00000000" w:rsidRDefault="00000000" w:rsidRPr="00000000" w14:paraId="000000E1">
      <w:pPr>
        <w:ind w:right="-4.724409448817823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${TABLE_ASSET_CONTEXT}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4j7fto392n6e" w:id="37"/>
      <w:bookmarkEnd w:id="3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E: Responsáveis pelo risco</w:t>
      </w:r>
    </w:p>
    <w:p w:rsidR="00000000" w:rsidDel="00000000" w:rsidP="00000000" w:rsidRDefault="00000000" w:rsidRPr="00000000" w14:paraId="000000E3">
      <w:pPr>
        <w:ind w:right="-4.724409448817823"/>
        <w:rPr>
          <w:rFonts w:ascii="Arial" w:cs="Arial" w:eastAsia="Arial" w:hAnsi="Arial"/>
          <w:color w:val="231f20"/>
        </w:rPr>
        <w:sectPr>
          <w:headerReference r:id="rId15" w:type="default"/>
          <w:headerReference r:id="rId16" w:type="first"/>
          <w:footerReference r:id="rId17" w:type="default"/>
          <w:type w:val="nextPage"/>
          <w:pgSz w:h="16838" w:w="11906" w:orient="portrait"/>
          <w:pgMar w:bottom="1133.8582677165355" w:top="1133.8582677165355" w:left="850.3937007874016" w:right="850.3937007874016" w:header="562" w:footer="562"/>
        </w:sect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${TABLE_RISK_OWNERS}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ind w:right="-4.724409448817823"/>
        <w:jc w:val="left"/>
        <w:rPr>
          <w:rFonts w:ascii="Arial" w:cs="Arial" w:eastAsia="Arial" w:hAnsi="Arial"/>
          <w:color w:val="231f20"/>
        </w:rPr>
      </w:pPr>
      <w:bookmarkStart w:colFirst="0" w:colLast="0" w:name="_5txieody3z0" w:id="38"/>
      <w:bookmarkEnd w:id="3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F: Notas e comentários do consultor</w:t>
      </w:r>
    </w:p>
    <w:p w:rsidR="00000000" w:rsidDel="00000000" w:rsidP="00000000" w:rsidRDefault="00000000" w:rsidRPr="00000000" w14:paraId="000000E5">
      <w:pPr>
        <w:pStyle w:val="Heading2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67ok5qki8ur7" w:id="39"/>
      <w:bookmarkEnd w:id="3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de informação</w:t>
      </w:r>
    </w:p>
    <w:p w:rsidR="00000000" w:rsidDel="00000000" w:rsidP="00000000" w:rsidRDefault="00000000" w:rsidRPr="00000000" w14:paraId="000000E6">
      <w:pPr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${TABLE_AUDIT_INSTANCES}</w:t>
      </w:r>
    </w:p>
    <w:p w:rsidR="00000000" w:rsidDel="00000000" w:rsidP="00000000" w:rsidRDefault="00000000" w:rsidRPr="00000000" w14:paraId="000000E7">
      <w:pPr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ind w:right="-4.724409448817823"/>
        <w:rPr>
          <w:rFonts w:ascii="Arial" w:cs="Arial" w:eastAsia="Arial" w:hAnsi="Arial"/>
          <w:color w:val="231f20"/>
        </w:rPr>
      </w:pPr>
      <w:bookmarkStart w:colFirst="0" w:colLast="0" w:name="_cih2q6asfl2j" w:id="40"/>
      <w:bookmarkEnd w:id="4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operacionais </w:t>
      </w:r>
    </w:p>
    <w:p w:rsidR="00000000" w:rsidDel="00000000" w:rsidP="00000000" w:rsidRDefault="00000000" w:rsidRPr="00000000" w14:paraId="000000E9">
      <w:pPr>
        <w:ind w:right="-4.724409448817823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${TABLE_AUDIT_RISKS_OP}</w:t>
      </w:r>
    </w:p>
    <w:sectPr>
      <w:headerReference r:id="rId18" w:type="default"/>
      <w:footerReference r:id="rId19" w:type="default"/>
      <w:type w:val="nextPage"/>
      <w:pgSz w:h="11906" w:w="16838" w:orient="landscape"/>
      <w:pgMar w:bottom="1133.8582677165355" w:top="1133.8582677165355" w:left="850.3937007874016" w:right="850.3937007874016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widowControl w:val="0"/>
      <w:spacing w:after="0" w:line="276" w:lineRule="auto"/>
      <w:ind w:right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28582</wp:posOffset>
          </wp:positionH>
          <wp:positionV relativeFrom="paragraph">
            <wp:posOffset>-44986</wp:posOffset>
          </wp:positionV>
          <wp:extent cx="1355753" cy="101160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25.39370078740177" w:tblpY="0"/>
      <w:tblW w:w="10230.0" w:type="dxa"/>
      <w:jc w:val="left"/>
      <w:tblInd w:w="-15.0" w:type="dxa"/>
      <w:tblBorders>
        <w:bottom w:color="000000" w:space="0" w:sz="4" w:val="single"/>
      </w:tblBorders>
      <w:tblLayout w:type="fixed"/>
      <w:tblLook w:val="0000"/>
    </w:tblPr>
    <w:tblGrid>
      <w:gridCol w:w="3525"/>
      <w:gridCol w:w="3240"/>
      <w:gridCol w:w="3465"/>
      <w:tblGridChange w:id="0">
        <w:tblGrid>
          <w:gridCol w:w="3525"/>
          <w:gridCol w:w="3240"/>
          <w:gridCol w:w="3465"/>
        </w:tblGrid>
      </w:tblGridChange>
    </w:tblGrid>
    <w:tr>
      <w:trPr>
        <w:cantSplit w:val="0"/>
        <w:trHeight w:val="402.77343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EB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D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0E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E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F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3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0F4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1.386718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0F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8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9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F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FB">
    <w:pPr>
      <w:tabs>
        <w:tab w:val="center" w:leader="none" w:pos="4536"/>
        <w:tab w:val="right" w:leader="none" w:pos="9072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57154</wp:posOffset>
          </wp:positionH>
          <wp:positionV relativeFrom="paragraph">
            <wp:posOffset>-76196</wp:posOffset>
          </wp:positionV>
          <wp:extent cx="1355753" cy="101160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5165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8100"/>
      <w:gridCol w:w="3240"/>
      <w:gridCol w:w="3825"/>
      <w:tblGridChange w:id="0">
        <w:tblGrid>
          <w:gridCol w:w="8100"/>
          <w:gridCol w:w="3240"/>
          <w:gridCol w:w="3825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D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F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10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0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5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06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10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0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467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8370"/>
      <w:gridCol w:w="3240"/>
      <w:gridCol w:w="3060"/>
      <w:tblGridChange w:id="0">
        <w:tblGrid>
          <w:gridCol w:w="837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F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-60316</wp:posOffset>
                </wp:positionH>
                <wp:positionV relativeFrom="paragraph">
                  <wp:posOffset>635</wp:posOffset>
                </wp:positionV>
                <wp:extent cx="1209040" cy="53276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11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1">
          <w:pPr>
            <w:tabs>
              <w:tab w:val="left" w:leader="none" w:pos="2343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11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4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1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7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18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A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11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${EMPRESA}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D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1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1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47629</wp:posOffset>
          </wp:positionH>
          <wp:positionV relativeFrom="paragraph">
            <wp:posOffset>-57145</wp:posOffset>
          </wp:positionV>
          <wp:extent cx="1355753" cy="1011600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85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35"/>
      <w:tblGridChange w:id="0">
        <w:tblGrid>
          <w:gridCol w:w="3510"/>
          <w:gridCol w:w="3240"/>
          <w:gridCol w:w="3435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1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3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12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2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9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2A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12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F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3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3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-60316</wp:posOffset>
                </wp:positionH>
                <wp:positionV relativeFrom="paragraph">
                  <wp:posOffset>635</wp:posOffset>
                </wp:positionV>
                <wp:extent cx="1209040" cy="53276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1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35">
          <w:pPr>
            <w:tabs>
              <w:tab w:val="left" w:leader="none" w:pos="2343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1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38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3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3B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3C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3E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1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${EMPRESA}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1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4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1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widowControl w:val="0"/>
      <w:spacing w:after="0" w:line="276" w:lineRule="auto"/>
      <w:ind w:right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57154</wp:posOffset>
          </wp:positionH>
          <wp:positionV relativeFrom="paragraph">
            <wp:posOffset>-57145</wp:posOffset>
          </wp:positionV>
          <wp:extent cx="1355753" cy="101160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pPr w:leftFromText="180" w:rightFromText="180" w:topFromText="180" w:bottomFromText="180" w:vertAnchor="text" w:horzAnchor="text" w:tblpX="19.60629921259823" w:tblpY="0"/>
      <w:tblW w:w="15165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8220"/>
      <w:gridCol w:w="3240"/>
      <w:gridCol w:w="3705"/>
      <w:tblGridChange w:id="0">
        <w:tblGrid>
          <w:gridCol w:w="8220"/>
          <w:gridCol w:w="3240"/>
          <w:gridCol w:w="3705"/>
        </w:tblGrid>
      </w:tblGridChange>
    </w:tblGrid>
    <w:tr>
      <w:trPr>
        <w:cantSplit w:val="0"/>
        <w:trHeight w:val="417.77343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5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7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1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A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4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D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4E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15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5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15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155">
    <w:pPr>
      <w:tabs>
        <w:tab w:val="center" w:leader="none" w:pos="4536"/>
        <w:tab w:val="right" w:leader="none" w:pos="9072"/>
      </w:tabs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4.xml"/><Relationship Id="rId14" Type="http://schemas.openxmlformats.org/officeDocument/2006/relationships/footer" Target="footer2.xml"/><Relationship Id="rId17" Type="http://schemas.openxmlformats.org/officeDocument/2006/relationships/footer" Target="footer3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image" Target="media/image4.png"/><Relationship Id="rId18" Type="http://schemas.openxmlformats.org/officeDocument/2006/relationships/header" Target="header6.xml"/><Relationship Id="rId7" Type="http://schemas.openxmlformats.org/officeDocument/2006/relationships/hyperlink" Target="http://www.iso.org/iso/en/catalogue_detail?csnumber=56742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