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b="0" l="0" r="0" t="0"/>
            <wp:wrapSquare wrapText="bothSides" distB="0" distT="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bookmarkStart w:colFirst="0" w:colLast="0" w:name="_lmtibz7zp13k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1" w:sz="4" w:val="single"/>
        </w:pBd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 xml:space="preserve">${DOCUMENT}</w:t>
      </w:r>
    </w:p>
    <w:p w:rsidR="00000000" w:rsidDel="00000000" w:rsidP="00000000" w:rsidRDefault="00000000" w:rsidRPr="00000000" w14:paraId="00000008">
      <w:p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ebs2ka2gnuu8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1340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</w:p>
    <w:p w:rsidR="00000000" w:rsidDel="00000000" w:rsidP="00000000" w:rsidRDefault="00000000" w:rsidRPr="00000000" w14:paraId="0000000B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48"/>
          <w:szCs w:val="4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48"/>
          <w:szCs w:val="48"/>
          <w:rtl w:val="0"/>
        </w:rPr>
        <w:t xml:space="preserve">${COMPANY}</w:t>
      </w:r>
    </w:p>
    <w:p w:rsidR="00000000" w:rsidDel="00000000" w:rsidP="00000000" w:rsidRDefault="00000000" w:rsidRPr="00000000" w14:paraId="0000000C">
      <w:pPr>
        <w:ind w:left="0" w:right="0" w:firstLine="0"/>
        <w:jc w:val="center"/>
        <w:rPr>
          <w:rFonts w:ascii="Arial" w:cs="Arial" w:eastAsia="Arial" w:hAnsi="Arial"/>
          <w:color w:val="308aa1"/>
        </w:rPr>
      </w:pPr>
      <w:r w:rsidDel="00000000" w:rsidR="00000000" w:rsidRPr="00000000">
        <w:rPr>
          <w:rtl w:val="0"/>
        </w:rPr>
      </w:r>
    </w:p>
    <w:bookmarkStart w:colFirst="0" w:colLast="0" w:name="a3r0fi5vmwha" w:id="2"/>
    <w:bookmarkEnd w:id="2"/>
    <w:bookmarkStart w:colFirst="0" w:colLast="0" w:name="a9905bh03ve2" w:id="3"/>
    <w:bookmarkEnd w:id="3"/>
    <w:p w:rsidR="00000000" w:rsidDel="00000000" w:rsidP="00000000" w:rsidRDefault="00000000" w:rsidRPr="00000000" w14:paraId="0000000D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fldChar w:fldCharType="begin"/>
        <w:instrText xml:space="preserve"> DOCPROPERTY "Subject"</w:instrText>
        <w:fldChar w:fldCharType="separate"/>
      </w: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Information security - MONARC</w:t>
      </w:r>
      <w:r w:rsidDel="00000000" w:rsidR="00000000" w:rsidRPr="00000000">
        <w:fldChar w:fldCharType="end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right="0" w:firstLine="0"/>
        <w:rPr>
          <w:rFonts w:ascii="Arial" w:cs="Arial" w:eastAsia="Arial" w:hAnsi="Arial"/>
          <w:b w:val="1"/>
          <w:bCs w:val="1"/>
          <w:color w:val="231f2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28"/>
          <w:szCs w:val="28"/>
          <w:rtl w:val="0"/>
        </w:rPr>
        <w:t xml:space="preserve">General information</w:t>
      </w:r>
    </w:p>
    <w:p w:rsidR="00000000" w:rsidDel="00000000" w:rsidP="00000000" w:rsidRDefault="00000000" w:rsidRPr="00000000" w14:paraId="00000018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Version:</w:t>
        <w:tab/>
        <w:t xml:space="preserve">${VERSION}</w:t>
      </w:r>
    </w:p>
    <w:p w:rsidR="00000000" w:rsidDel="00000000" w:rsidP="00000000" w:rsidRDefault="00000000" w:rsidRPr="00000000" w14:paraId="00000019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status:</w:t>
        <w:tab/>
        <w:t xml:space="preserve">${STATE}</w:t>
      </w:r>
    </w:p>
    <w:p w:rsidR="00000000" w:rsidDel="00000000" w:rsidP="00000000" w:rsidRDefault="00000000" w:rsidRPr="00000000" w14:paraId="0000001A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Classification:</w:t>
        <w:tab/>
        <w:t xml:space="preserve">${CLASSIFICATION}</w:t>
      </w:r>
    </w:p>
    <w:p w:rsidR="00000000" w:rsidDel="00000000" w:rsidP="00000000" w:rsidRDefault="00000000" w:rsidRPr="00000000" w14:paraId="0000001B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Company:</w:t>
        <w:tab/>
        <w:t xml:space="preserve">${COMPANY}</w:t>
      </w:r>
    </w:p>
    <w:p w:rsidR="00000000" w:rsidDel="00000000" w:rsidP="00000000" w:rsidRDefault="00000000" w:rsidRPr="00000000" w14:paraId="0000001C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Document name:</w:t>
        <w:tab/>
        <w:t xml:space="preserve">${DOCUMENT}</w:t>
      </w:r>
    </w:p>
    <w:p w:rsidR="00000000" w:rsidDel="00000000" w:rsidP="00000000" w:rsidRDefault="00000000" w:rsidRPr="00000000" w14:paraId="0000001D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Date:</w:t>
        <w:tab/>
        <w:t xml:space="preserve">${DATE}</w:t>
      </w:r>
    </w:p>
    <w:p w:rsidR="00000000" w:rsidDel="00000000" w:rsidP="00000000" w:rsidRDefault="00000000" w:rsidRPr="00000000" w14:paraId="0000001E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Security consultant(s): </w:t>
        <w:tab/>
        <w:t xml:space="preserve">${SMILE}</w:t>
      </w:r>
    </w:p>
    <w:p w:rsidR="00000000" w:rsidDel="00000000" w:rsidP="00000000" w:rsidRDefault="00000000" w:rsidRPr="00000000" w14:paraId="0000001F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Client representative(s): </w:t>
        <w:tab/>
        <w:t xml:space="preserve">${CLIENT}</w:t>
      </w:r>
    </w:p>
    <w:p w:rsidR="00000000" w:rsidDel="00000000" w:rsidP="00000000" w:rsidRDefault="00000000" w:rsidRPr="00000000" w14:paraId="00000020">
      <w:pPr>
        <w:spacing w:after="0" w:line="276" w:lineRule="auto"/>
        <w:ind w:left="0" w:right="0" w:firstLine="0"/>
        <w:jc w:val="left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  <w:rtl w:val="0"/>
        </w:rPr>
        <w:t xml:space="preserve">Contents</w:t>
      </w:r>
    </w:p>
    <w:sdt>
      <w:sdtPr>
        <w:id w:val="88873859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770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2c88mxcfzk0k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hyperlink>
          <w:hyperlink w:anchor="_2c88mxcfzk0k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_2c88mxcfzk0k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Introduction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77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arj5z6aonkqk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hyperlink>
          <w:hyperlink w:anchor="_arj5z6aonkqk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_arj5z6aonkqk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Placing the risk analysis in context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77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mgmdlqr7uci1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hyperlink>
          <w:hyperlink w:anchor="_mgmdlqr7uci1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_mgmdlqr7uci1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Aims of the document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77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ikgbvek6ncdq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hyperlink>
          <w:hyperlink w:anchor="_ikgbvek6ncdq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_ikgbvek6ncdq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Acronyms/Glossary</w:t>
            <w:tab/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770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cgtvyev0w53a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cgtvyev0w53a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_cgtvyev0w53a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Context Modelling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77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3eu6549k5m0x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2.1</w:t>
            </w:r>
          </w:hyperlink>
          <w:hyperlink w:anchor="_3eu6549k5m0x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_3eu6549k5m0x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Identifying the assets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77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4lnamd11cbci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2.2</w:t>
            </w:r>
          </w:hyperlink>
          <w:hyperlink w:anchor="_4lnamd11cbci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_4lnamd11cbci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Identifying the vulnerabilities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880"/>
              <w:tab w:val="right" w:leader="none" w:pos="977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o1j5q2dlrsan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2.3</w:t>
            </w:r>
          </w:hyperlink>
          <w:hyperlink w:anchor="_o1j5q2dlrsan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_o1j5q2dlrsan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Assessing the consequences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770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hyperlink w:anchor="_la5ixfs3z6r5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Appendix A: Interview and information collection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ind w:left="0" w:right="0" w:firstLine="0"/>
            <w:rPr>
              <w:rFonts w:ascii="Arial" w:cs="Arial" w:eastAsia="Arial" w:hAnsi="Arial"/>
              <w:b w:val="1"/>
              <w:bCs w:val="1"/>
              <w:color w:val="231f20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C">
      <w:pPr>
        <w:spacing w:after="20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0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0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0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0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0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0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rtl w:val="0"/>
        </w:rPr>
        <w:t xml:space="preserve">Read and approved by all the parties</w:t>
      </w:r>
    </w:p>
    <w:p w:rsidR="00000000" w:rsidDel="00000000" w:rsidP="00000000" w:rsidRDefault="00000000" w:rsidRPr="00000000" w14:paraId="00000033">
      <w:pPr>
        <w:ind w:left="0" w:right="0" w:firstLine="0"/>
        <w:rPr>
          <w:rFonts w:ascii="Arial" w:cs="Arial" w:eastAsia="Arial" w:hAnsi="Arial"/>
          <w:b w:val="1"/>
          <w:bCs w:val="1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00" w:line="276" w:lineRule="auto"/>
        <w:ind w:left="0" w:right="0" w:firstLine="0"/>
        <w:jc w:val="center"/>
        <w:rPr>
          <w:rFonts w:ascii="Arial" w:cs="Arial" w:eastAsia="Arial" w:hAnsi="Arial"/>
          <w:color w:val="231f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numPr>
          <w:ilvl w:val="0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2c88mxcfzk0k" w:id="4"/>
      <w:bookmarkEnd w:id="4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Introduction</w:t>
      </w:r>
    </w:p>
    <w:p w:rsidR="00000000" w:rsidDel="00000000" w:rsidP="00000000" w:rsidRDefault="00000000" w:rsidRPr="00000000" w14:paraId="00000036">
      <w:pPr>
        <w:pStyle w:val="Heading2"/>
        <w:numPr>
          <w:ilvl w:val="1"/>
          <w:numId w:val="1"/>
        </w:numPr>
        <w:ind w:left="0" w:right="0" w:firstLine="0"/>
        <w:rPr>
          <w:rFonts w:ascii="Arial" w:cs="Arial" w:eastAsia="Arial" w:hAnsi="Arial"/>
        </w:rPr>
      </w:pPr>
      <w:bookmarkStart w:colFirst="0" w:colLast="0" w:name="_arj5z6aonkqk" w:id="5"/>
      <w:bookmarkEnd w:id="5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Placing the risk analysis in context </w:t>
      </w:r>
    </w:p>
    <w:p w:rsidR="00000000" w:rsidDel="00000000" w:rsidP="00000000" w:rsidRDefault="00000000" w:rsidRPr="00000000" w14:paraId="00000037">
      <w:pPr>
        <w:spacing w:before="240" w:lineRule="auto"/>
        <w:ind w:left="0" w:right="0" w:firstLine="0"/>
        <w:rPr>
          <w:rFonts w:ascii="Arial" w:cs="Arial" w:eastAsia="Arial" w:hAnsi="Arial"/>
          <w:color w:val="231f20"/>
          <w:sz w:val="10"/>
          <w:szCs w:val="1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${CONTEXT_ANA_RISK}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numPr>
          <w:ilvl w:val="1"/>
          <w:numId w:val="1"/>
        </w:numPr>
        <w:spacing w:before="0" w:lineRule="auto"/>
        <w:ind w:left="0" w:right="0" w:firstLine="0"/>
        <w:rPr>
          <w:rFonts w:ascii="Arial" w:cs="Arial" w:eastAsia="Arial" w:hAnsi="Arial"/>
        </w:rPr>
      </w:pPr>
      <w:bookmarkStart w:colFirst="0" w:colLast="0" w:name="_mgmdlqr7uci1" w:id="6"/>
      <w:bookmarkEnd w:id="6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Aims of the document</w:t>
      </w:r>
    </w:p>
    <w:p w:rsidR="00000000" w:rsidDel="00000000" w:rsidP="00000000" w:rsidRDefault="00000000" w:rsidRPr="00000000" w14:paraId="00000039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This document has the goal to show the context modelling, as understood and transposed by the responsible for the risk management.  </w:t>
      </w:r>
    </w:p>
    <w:p w:rsidR="00000000" w:rsidDel="00000000" w:rsidP="00000000" w:rsidRDefault="00000000" w:rsidRPr="00000000" w14:paraId="0000003A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This document has to be signed, for reading and acceptance by the management of the target organisation to allow the continuing of the mission. </w:t>
      </w:r>
    </w:p>
    <w:p w:rsidR="00000000" w:rsidDel="00000000" w:rsidP="00000000" w:rsidRDefault="00000000" w:rsidRPr="00000000" w14:paraId="0000003B">
      <w:pPr>
        <w:pStyle w:val="Heading2"/>
        <w:numPr>
          <w:ilvl w:val="1"/>
          <w:numId w:val="1"/>
        </w:numPr>
        <w:ind w:left="0" w:right="0" w:firstLine="0"/>
        <w:rPr>
          <w:rFonts w:ascii="Arial" w:cs="Arial" w:eastAsia="Arial" w:hAnsi="Arial"/>
        </w:rPr>
      </w:pPr>
      <w:bookmarkStart w:colFirst="0" w:colLast="0" w:name="_ikgbvek6ncdq" w:id="7"/>
      <w:bookmarkEnd w:id="7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Acronyms/Glossary </w:t>
      </w:r>
    </w:p>
    <w:p w:rsidR="00000000" w:rsidDel="00000000" w:rsidP="00000000" w:rsidRDefault="00000000" w:rsidRPr="00000000" w14:paraId="0000003C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rtl w:val="0"/>
        </w:rPr>
        <w:t xml:space="preserve">Asset: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Any item of value to the institution.  </w:t>
      </w:r>
    </w:p>
    <w:p w:rsidR="00000000" w:rsidDel="00000000" w:rsidP="00000000" w:rsidRDefault="00000000" w:rsidRPr="00000000" w14:paraId="0000003D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rtl w:val="0"/>
        </w:rPr>
        <w:t xml:space="preserve">Confidentiality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: The attribute that information is not available or disclosed to unauthorised individuals, entities or processes.</w:t>
      </w:r>
    </w:p>
    <w:p w:rsidR="00000000" w:rsidDel="00000000" w:rsidP="00000000" w:rsidRDefault="00000000" w:rsidRPr="00000000" w14:paraId="0000003E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rtl w:val="0"/>
        </w:rPr>
        <w:t xml:space="preserve">Availability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: The attribute of being accessible and usable upon request from an authorised entity.</w:t>
      </w:r>
    </w:p>
    <w:p w:rsidR="00000000" w:rsidDel="00000000" w:rsidP="00000000" w:rsidRDefault="00000000" w:rsidRPr="00000000" w14:paraId="0000003F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rtl w:val="0"/>
        </w:rPr>
        <w:t xml:space="preserve">Integrity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: The attribute of preserving the accuracy and completeness of an item.</w:t>
      </w:r>
    </w:p>
    <w:p w:rsidR="00000000" w:rsidDel="00000000" w:rsidP="00000000" w:rsidRDefault="00000000" w:rsidRPr="00000000" w14:paraId="00000040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rtl w:val="0"/>
        </w:rPr>
        <w:t xml:space="preserve">MONARC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: CASES Optimised Risk Analysis Method.</w:t>
      </w:r>
    </w:p>
    <w:p w:rsidR="00000000" w:rsidDel="00000000" w:rsidP="00000000" w:rsidRDefault="00000000" w:rsidRPr="00000000" w14:paraId="00000041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numPr>
          <w:ilvl w:val="0"/>
          <w:numId w:val="1"/>
        </w:num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cgtvyev0w53a" w:id="8"/>
      <w:bookmarkEnd w:id="8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Context Modelling </w:t>
      </w:r>
    </w:p>
    <w:p w:rsidR="00000000" w:rsidDel="00000000" w:rsidP="00000000" w:rsidRDefault="00000000" w:rsidRPr="00000000" w14:paraId="00000043">
      <w:pPr>
        <w:pStyle w:val="Heading2"/>
        <w:numPr>
          <w:ilvl w:val="1"/>
          <w:numId w:val="1"/>
        </w:numPr>
        <w:ind w:left="0" w:right="0" w:firstLine="0"/>
        <w:rPr>
          <w:rFonts w:ascii="Arial" w:cs="Arial" w:eastAsia="Arial" w:hAnsi="Arial"/>
        </w:rPr>
      </w:pPr>
      <w:bookmarkStart w:colFirst="0" w:colLast="0" w:name="_3eu6549k5m0x" w:id="9"/>
      <w:bookmarkEnd w:id="9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Identifying the assets </w:t>
      </w:r>
    </w:p>
    <w:p w:rsidR="00000000" w:rsidDel="00000000" w:rsidP="00000000" w:rsidRDefault="00000000" w:rsidRPr="00000000" w14:paraId="00000044">
      <w:pPr>
        <w:ind w:left="0" w:right="0" w:firstLine="0"/>
        <w:rPr>
          <w:rFonts w:ascii="Arial" w:cs="Arial" w:eastAsia="Arial" w:hAnsi="Arial"/>
          <w:color w:val="231f20"/>
          <w:sz w:val="10"/>
          <w:szCs w:val="1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${SYNTH_ACTIF}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numPr>
          <w:ilvl w:val="1"/>
          <w:numId w:val="1"/>
        </w:numPr>
        <w:spacing w:before="0" w:lineRule="auto"/>
        <w:ind w:left="0" w:right="0" w:firstLine="0"/>
        <w:rPr>
          <w:rFonts w:ascii="Arial" w:cs="Arial" w:eastAsia="Arial" w:hAnsi="Arial"/>
        </w:rPr>
      </w:pPr>
      <w:bookmarkStart w:colFirst="0" w:colLast="0" w:name="_4lnamd11cbci" w:id="10"/>
      <w:bookmarkEnd w:id="10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Identifying the vulnerabilities </w:t>
      </w:r>
    </w:p>
    <w:p w:rsidR="00000000" w:rsidDel="00000000" w:rsidP="00000000" w:rsidRDefault="00000000" w:rsidRPr="00000000" w14:paraId="00000046">
      <w:pPr>
        <w:spacing w:after="0" w:lineRule="auto"/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Using MONARC modelling and its objects enables vulnerabilities to be identified in sufficient detail for repeated risk analysis. </w:t>
      </w:r>
    </w:p>
    <w:p w:rsidR="00000000" w:rsidDel="00000000" w:rsidP="00000000" w:rsidRDefault="00000000" w:rsidRPr="00000000" w14:paraId="00000047">
      <w:pPr>
        <w:spacing w:after="0" w:lineRule="auto"/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It is, however, up to the discretion of the consultants to include new contextual risks that they discover during the assignment.</w:t>
      </w:r>
    </w:p>
    <w:p w:rsidR="00000000" w:rsidDel="00000000" w:rsidP="00000000" w:rsidRDefault="00000000" w:rsidRPr="00000000" w14:paraId="00000048">
      <w:pPr>
        <w:pStyle w:val="Heading2"/>
        <w:numPr>
          <w:ilvl w:val="1"/>
          <w:numId w:val="1"/>
        </w:numPr>
        <w:ind w:left="0" w:right="0" w:firstLine="0"/>
        <w:rPr>
          <w:rFonts w:ascii="Arial" w:cs="Arial" w:eastAsia="Arial" w:hAnsi="Arial"/>
        </w:rPr>
      </w:pPr>
      <w:bookmarkStart w:colFirst="0" w:colLast="0" w:name="_o1j5q2dlrsan" w:id="11"/>
      <w:bookmarkEnd w:id="11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Assessing the consequences </w:t>
      </w:r>
    </w:p>
    <w:p w:rsidR="00000000" w:rsidDel="00000000" w:rsidP="00000000" w:rsidRDefault="00000000" w:rsidRPr="00000000" w14:paraId="00000049">
      <w:pPr>
        <w:spacing w:after="0" w:lineRule="auto"/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The table below shows the impacts for the essential assets of ${COMPANY}.</w:t>
      </w:r>
    </w:p>
    <w:p w:rsidR="00000000" w:rsidDel="00000000" w:rsidP="00000000" w:rsidRDefault="00000000" w:rsidRPr="00000000" w14:paraId="0000004A">
      <w:pPr>
        <w:spacing w:after="0" w:lineRule="auto"/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To save time, all the secondary assets that will be entered into the essential asset model will receive these impacts by default, which can then be adjusted manually.</w:t>
      </w:r>
    </w:p>
    <w:p w:rsidR="00000000" w:rsidDel="00000000" w:rsidP="00000000" w:rsidRDefault="00000000" w:rsidRPr="00000000" w14:paraId="0000004B">
      <w:pPr>
        <w:spacing w:after="0" w:lineRule="auto"/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Rule="auto"/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${IMPACTS_APPRECIATION}</w:t>
      </w:r>
    </w:p>
    <w:p w:rsidR="00000000" w:rsidDel="00000000" w:rsidP="00000000" w:rsidRDefault="00000000" w:rsidRPr="00000000" w14:paraId="0000004D">
      <w:pPr>
        <w:spacing w:after="0" w:lineRule="auto"/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la5ixfs3z6r5" w:id="12"/>
      <w:bookmarkEnd w:id="12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Appendix A: Interview and information collection</w:t>
      </w:r>
    </w:p>
    <w:p w:rsidR="00000000" w:rsidDel="00000000" w:rsidP="00000000" w:rsidRDefault="00000000" w:rsidRPr="00000000" w14:paraId="0000004F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0" w:right="0" w:firstLine="0"/>
        <w:jc w:val="left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${TABLE_INTERVIEW}</w:t>
      </w:r>
    </w:p>
    <w:p w:rsidR="00000000" w:rsidDel="00000000" w:rsidP="00000000" w:rsidRDefault="00000000" w:rsidRPr="00000000" w14:paraId="00000051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133.8582677165355" w:top="1133.8582677165355" w:left="850.3937007874016" w:right="850.3937007874016" w:header="561" w:footer="561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Tahoma">
    <w:embedRegular w:fontKey="{00000000-0000-0000-0000-000000000000}" r:id="rId1" w:subsetted="0"/>
    <w:embedBold w:fontKey="{00000000-0000-0000-0000-000000000000}" r:id="rId2" w:subsetted="0"/>
  </w:font>
  <w:font w:name="Century Schoolbook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5">
    <w:pPr>
      <w:keepNext w:val="0"/>
      <w:keepLines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295275</wp:posOffset>
          </wp:positionH>
          <wp:positionV relativeFrom="paragraph">
            <wp:posOffset>133350</wp:posOffset>
          </wp:positionV>
          <wp:extent cx="962941" cy="363600"/>
          <wp:effectExtent b="0" l="0" r="0" t="0"/>
          <wp:wrapNone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62941" cy="3636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85727</wp:posOffset>
          </wp:positionH>
          <wp:positionV relativeFrom="paragraph">
            <wp:posOffset>-83092</wp:posOffset>
          </wp:positionV>
          <wp:extent cx="1355753" cy="1011600"/>
          <wp:effectExtent b="0" l="0" r="0" t="0"/>
          <wp:wrapNone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1"/>
      <w:tblW w:w="10200.0" w:type="dxa"/>
      <w:jc w:val="left"/>
      <w:tblBorders>
        <w:bottom w:color="000000" w:space="0" w:sz="4" w:val="single"/>
      </w:tblBorders>
      <w:tblLayout w:type="fixed"/>
      <w:tblLook w:val="0000"/>
    </w:tblPr>
    <w:tblGrid>
      <w:gridCol w:w="3510"/>
      <w:gridCol w:w="3240"/>
      <w:gridCol w:w="3450"/>
      <w:tblGridChange w:id="0">
        <w:tblGrid>
          <w:gridCol w:w="3510"/>
          <w:gridCol w:w="3240"/>
          <w:gridCol w:w="3450"/>
        </w:tblGrid>
      </w:tblGridChange>
    </w:tblGrid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53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55">
          <w:pPr>
            <w:tabs>
              <w:tab w:val="left" w:leader="none" w:pos="2343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Version</w:t>
          </w:r>
        </w:p>
      </w:tc>
      <w:tc>
        <w:tcPr>
          <w:vAlign w:val="center"/>
        </w:tcPr>
        <w:p w:rsidR="00000000" w:rsidDel="00000000" w:rsidP="00000000" w:rsidRDefault="00000000" w:rsidRPr="00000000" w14:paraId="00000056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57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58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status</w:t>
          </w:r>
        </w:p>
      </w:tc>
      <w:tc>
        <w:tcPr>
          <w:vAlign w:val="center"/>
        </w:tcPr>
        <w:p w:rsidR="00000000" w:rsidDel="00000000" w:rsidP="00000000" w:rsidRDefault="00000000" w:rsidRPr="00000000" w14:paraId="00000059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5A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5B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Classification</w:t>
          </w:r>
        </w:p>
      </w:tc>
      <w:tc>
        <w:tcPr>
          <w:vAlign w:val="center"/>
        </w:tcPr>
        <w:p w:rsidR="00000000" w:rsidDel="00000000" w:rsidP="00000000" w:rsidRDefault="00000000" w:rsidRPr="00000000" w14:paraId="0000005C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5D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5E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Company</w:t>
          </w:r>
        </w:p>
      </w:tc>
      <w:tc>
        <w:tcPr>
          <w:vAlign w:val="center"/>
        </w:tcPr>
        <w:p w:rsidR="00000000" w:rsidDel="00000000" w:rsidP="00000000" w:rsidRDefault="00000000" w:rsidRPr="00000000" w14:paraId="0000005F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60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61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Document name</w:t>
          </w:r>
        </w:p>
      </w:tc>
      <w:tc>
        <w:tcPr>
          <w:vAlign w:val="center"/>
        </w:tcPr>
        <w:p w:rsidR="00000000" w:rsidDel="00000000" w:rsidP="00000000" w:rsidRDefault="00000000" w:rsidRPr="00000000" w14:paraId="00000062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6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120" w:before="0" w:line="240" w:lineRule="auto"/>
      <w:ind w:left="0" w:right="113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"/>
      <w:lvlJc w:val="left"/>
      <w:pPr>
        <w:ind w:left="432" w:hanging="432"/>
      </w:pPr>
      <w:rPr/>
    </w:lvl>
    <w:lvl w:ilvl="1">
      <w:start w:val="1"/>
      <w:numFmt w:val="decimal"/>
      <w:lvlText w:val="%1.%2"/>
      <w:lvlJc w:val="left"/>
      <w:pPr>
        <w:ind w:left="718" w:hanging="576"/>
      </w:pPr>
      <w:rPr>
        <w:i w:val="0"/>
        <w:iCs w:val="0"/>
        <w:smallCaps w:val="0"/>
        <w:strike w:val="0"/>
        <w:color w:val="000000"/>
        <w:u w:val="none"/>
        <w:vertAlign w:val="baseline"/>
      </w:rPr>
    </w:lvl>
    <w:lvl w:ilvl="2">
      <w:start w:val="1"/>
      <w:numFmt w:val="decimal"/>
      <w:lvlText w:val="%1.%2.%3"/>
      <w:lvlJc w:val="left"/>
      <w:pPr>
        <w:ind w:left="1146" w:hanging="720"/>
      </w:pPr>
      <w:rPr/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Schoolbook" w:cs="Century Schoolbook" w:eastAsia="Century Schoolbook" w:hAnsi="Century Schoolbook"/>
        <w:sz w:val="22"/>
        <w:szCs w:val="22"/>
        <w:lang w:val="en"/>
      </w:rPr>
    </w:rPrDefault>
    <w:pPrDefault>
      <w:pPr>
        <w:spacing w:after="120" w:lineRule="auto"/>
        <w:ind w:right="113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1"/>
      <w:spacing w:after="240" w:before="60" w:lineRule="auto"/>
      <w:ind w:left="432" w:right="0" w:hanging="432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left="718" w:right="0" w:hanging="576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before="240" w:lineRule="auto"/>
      <w:ind w:left="720" w:right="0" w:hanging="720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before="240" w:lineRule="auto"/>
      <w:ind w:left="864" w:right="0" w:hanging="864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pBdr>
        <w:bottom w:color="000000" w:space="1" w:sz="12" w:val="single"/>
      </w:pBdr>
      <w:spacing w:before="360" w:lineRule="auto"/>
      <w:ind w:right="0"/>
    </w:pPr>
    <w:rPr>
      <w:b w:val="1"/>
      <w:bCs w:val="1"/>
      <w:i w:val="1"/>
      <w:iCs w:val="1"/>
      <w:smallCaps w:val="1"/>
    </w:rPr>
  </w:style>
  <w:style w:type="paragraph" w:styleId="Heading6">
    <w:name w:val="heading 6"/>
    <w:basedOn w:val="Normal"/>
    <w:next w:val="Normal"/>
    <w:pPr>
      <w:keepNext w:val="1"/>
      <w:spacing w:after="60" w:before="120" w:lineRule="auto"/>
      <w:ind w:left="426" w:right="0"/>
    </w:pPr>
    <w:rPr>
      <w:b w:val="1"/>
      <w:bCs w:val="1"/>
    </w:rPr>
  </w:style>
  <w:style w:type="paragraph" w:styleId="Title">
    <w:name w:val="Title"/>
    <w:basedOn w:val="Normal"/>
    <w:next w:val="Normal"/>
    <w:pPr>
      <w:spacing w:after="60" w:before="240" w:lineRule="auto"/>
      <w:ind w:right="0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ind w:left="113"/>
    </w:pPr>
    <w:rPr>
      <w:rFonts w:ascii="Cambria" w:cs="Cambria" w:eastAsia="Cambria" w:hAnsi="Cambria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CenturySchoolbook-regular.ttf"/><Relationship Id="rId4" Type="http://schemas.openxmlformats.org/officeDocument/2006/relationships/font" Target="fonts/CenturySchoolbook-bold.ttf"/><Relationship Id="rId5" Type="http://schemas.openxmlformats.org/officeDocument/2006/relationships/font" Target="fonts/CenturySchoolbook-italic.ttf"/><Relationship Id="rId6" Type="http://schemas.openxmlformats.org/officeDocument/2006/relationships/font" Target="fonts/CenturySchoolbook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ject">
    <vt:lpwstr>Subject</vt:lpwstr>
  </property>
</Properties>
</file>