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5j9lab2dy93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 security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bookmarkStart w:colFirst="0" w:colLast="0" w:name="_5t1xs6ts8yz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 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Company: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name: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Security consultant(s):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Client representative(s):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3635404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5q667guuo9o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5q667guuo9o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_5q667guuo9ob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5uv71lsjl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vf5uv71lsjl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_vf5uv71lsjlf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Acteurs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bf94leivlv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bf94leivlv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_bf94leivlvp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Categories of data subjects and personal data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uwcgbhr3j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tsuwcgbhr3j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_tsuwcgbhr3jd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Recipients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1r218g8m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wl1r218g8m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_wl1r218g8md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International transfers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n6fwh4qr8mt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n6fwh4qr8mt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_n6fwh4qr8mtu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Processors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5q667guuo9ob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Description</w:t>
      </w:r>
    </w:p>
    <w:p w:rsidR="00000000" w:rsidDel="00000000" w:rsidP="00000000" w:rsidRDefault="00000000" w:rsidRPr="00000000" w14:paraId="0000002C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${TABLE_RECORD_INFORMATION}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vf5uv71lsjlf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Acteurs</w:t>
      </w:r>
    </w:p>
    <w:p w:rsidR="00000000" w:rsidDel="00000000" w:rsidP="00000000" w:rsidRDefault="00000000" w:rsidRPr="00000000" w14:paraId="0000002E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${TABLE_RECORD_ACTORS}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bf94leivlvp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Categories of data subjects and personal data </w:t>
      </w:r>
    </w:p>
    <w:p w:rsidR="00000000" w:rsidDel="00000000" w:rsidP="00000000" w:rsidRDefault="00000000" w:rsidRPr="00000000" w14:paraId="0000003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${TABLE_RECORD_PERSONAL_DATA}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tsuwcgbhr3jd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Recipients </w:t>
      </w:r>
    </w:p>
    <w:p w:rsidR="00000000" w:rsidDel="00000000" w:rsidP="00000000" w:rsidRDefault="00000000" w:rsidRPr="00000000" w14:paraId="0000003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${TABLE_RECORD_RECIPIENTS} 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wl1r218g8md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International transfers</w:t>
      </w:r>
    </w:p>
    <w:p w:rsidR="00000000" w:rsidDel="00000000" w:rsidP="00000000" w:rsidRDefault="00000000" w:rsidRPr="00000000" w14:paraId="00000034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${TABLE_RECORD_INTERNATIONAL_TRANSFERS} 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n6fwh4qr8mtu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Processors</w:t>
      </w:r>
    </w:p>
    <w:p w:rsidR="00000000" w:rsidDel="00000000" w:rsidP="00000000" w:rsidRDefault="00000000" w:rsidRPr="00000000" w14:paraId="0000003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${TABLE_RECORD_PROCESSORS}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33.8582677165355" w:top="1133.8582677165355" w:left="850.3937007874016" w:right="850.3937007874016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47629</wp:posOffset>
          </wp:positionH>
          <wp:positionV relativeFrom="paragraph">
            <wp:posOffset>-54514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8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