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3119" w:firstLine="0"/>
        <w:jc w:val="lef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5245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color w:val="231f20"/>
        </w:rPr>
      </w:pPr>
      <w:bookmarkStart w:colFirst="0" w:colLast="0" w:name="_o1sh3cm1mzco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1560" w:right="1417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1560" w:right="1417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bookmarkStart w:colFirst="0" w:colLast="0" w:name="_a3siul9mcxv3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 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2410" w:hanging="241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right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-2079420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dot" w:pos="9764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f7u4cpj2uguq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f7u4cpj2uguq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_f7u4cpj2uguq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Description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dot" w:pos="9764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peycwqbelo1a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peycwqbelo1a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_peycwqbelo1a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Acteurs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dot" w:pos="9764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4ugw70pvrrxu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4ugw70pvrrxu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_4ugw70pvrrxu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Categories of data subjects and personal data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dot" w:pos="9764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cvkab2mgpr8u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cvkab2mgpr8u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_cvkab2mgpr8u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Recipients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dot" w:pos="9764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jyg0l6fhai7v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jyg0l6fhai7v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_jyg0l6fhai7v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International transfers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dot" w:pos="9764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aaye7cv8mglv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aaye7cv8mglv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_aaye7cv8mglv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Processors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A">
      <w:pPr>
        <w:spacing w:after="200" w:line="276" w:lineRule="auto"/>
        <w:ind w:right="0"/>
        <w:jc w:val="left"/>
        <w:rPr>
          <w:rFonts w:ascii="Arial" w:cs="Arial" w:eastAsia="Arial" w:hAnsi="Arial"/>
          <w:b w:val="1"/>
          <w:bCs w:val="1"/>
          <w:color w:val="231f2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numPr>
          <w:ilvl w:val="0"/>
          <w:numId w:val="1"/>
        </w:numPr>
        <w:ind w:left="284" w:hanging="360"/>
        <w:rPr>
          <w:rFonts w:ascii="Arial" w:cs="Arial" w:eastAsia="Arial" w:hAnsi="Arial"/>
          <w:color w:val="231f20"/>
        </w:rPr>
      </w:pPr>
      <w:bookmarkStart w:colFirst="0" w:colLast="0" w:name="_f7u4cpj2uguq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Description</w:t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${TABLE_RECORD_INFORMATION}</w:t>
      </w:r>
    </w:p>
    <w:p w:rsidR="00000000" w:rsidDel="00000000" w:rsidP="00000000" w:rsidRDefault="00000000" w:rsidRPr="00000000" w14:paraId="0000002D">
      <w:pPr>
        <w:pStyle w:val="Heading2"/>
        <w:numPr>
          <w:ilvl w:val="0"/>
          <w:numId w:val="1"/>
        </w:numPr>
        <w:ind w:left="284" w:hanging="360"/>
        <w:rPr>
          <w:rFonts w:ascii="Arial" w:cs="Arial" w:eastAsia="Arial" w:hAnsi="Arial"/>
          <w:color w:val="231f20"/>
        </w:rPr>
      </w:pPr>
      <w:bookmarkStart w:colFirst="0" w:colLast="0" w:name="_peycwqbelo1a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Acteurs</w:t>
      </w:r>
    </w:p>
    <w:p w:rsidR="00000000" w:rsidDel="00000000" w:rsidP="00000000" w:rsidRDefault="00000000" w:rsidRPr="00000000" w14:paraId="0000002E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${TABLE_RECORD_ACTORS}</w:t>
      </w:r>
    </w:p>
    <w:p w:rsidR="00000000" w:rsidDel="00000000" w:rsidP="00000000" w:rsidRDefault="00000000" w:rsidRPr="00000000" w14:paraId="0000002F">
      <w:pPr>
        <w:pStyle w:val="Heading2"/>
        <w:numPr>
          <w:ilvl w:val="0"/>
          <w:numId w:val="1"/>
        </w:numPr>
        <w:ind w:left="284" w:hanging="360"/>
        <w:rPr>
          <w:rFonts w:ascii="Arial" w:cs="Arial" w:eastAsia="Arial" w:hAnsi="Arial"/>
          <w:color w:val="231f20"/>
        </w:rPr>
      </w:pPr>
      <w:bookmarkStart w:colFirst="0" w:colLast="0" w:name="_4ugw70pvrrxu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Categories of data subjects and personal data </w:t>
      </w:r>
    </w:p>
    <w:p w:rsidR="00000000" w:rsidDel="00000000" w:rsidP="00000000" w:rsidRDefault="00000000" w:rsidRPr="00000000" w14:paraId="00000030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${TABLE_RECORD_PERSONAL_DATA}</w:t>
      </w:r>
    </w:p>
    <w:p w:rsidR="00000000" w:rsidDel="00000000" w:rsidP="00000000" w:rsidRDefault="00000000" w:rsidRPr="00000000" w14:paraId="00000031">
      <w:pPr>
        <w:pStyle w:val="Heading2"/>
        <w:numPr>
          <w:ilvl w:val="0"/>
          <w:numId w:val="1"/>
        </w:numPr>
        <w:ind w:left="284" w:hanging="360"/>
        <w:rPr>
          <w:rFonts w:ascii="Arial" w:cs="Arial" w:eastAsia="Arial" w:hAnsi="Arial"/>
          <w:color w:val="231f20"/>
        </w:rPr>
      </w:pPr>
      <w:bookmarkStart w:colFirst="0" w:colLast="0" w:name="_cvkab2mgpr8u" w:id="5"/>
      <w:bookmarkEnd w:id="5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Recipients </w:t>
      </w:r>
    </w:p>
    <w:p w:rsidR="00000000" w:rsidDel="00000000" w:rsidP="00000000" w:rsidRDefault="00000000" w:rsidRPr="00000000" w14:paraId="00000032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${TABLE_RECORD_RECIPIENTS} </w:t>
      </w:r>
    </w:p>
    <w:p w:rsidR="00000000" w:rsidDel="00000000" w:rsidP="00000000" w:rsidRDefault="00000000" w:rsidRPr="00000000" w14:paraId="00000033">
      <w:pPr>
        <w:pStyle w:val="Heading2"/>
        <w:numPr>
          <w:ilvl w:val="0"/>
          <w:numId w:val="1"/>
        </w:numPr>
        <w:ind w:left="284" w:hanging="360"/>
        <w:rPr>
          <w:rFonts w:ascii="Arial" w:cs="Arial" w:eastAsia="Arial" w:hAnsi="Arial"/>
          <w:color w:val="231f20"/>
        </w:rPr>
      </w:pPr>
      <w:bookmarkStart w:colFirst="0" w:colLast="0" w:name="_jyg0l6fhai7v" w:id="6"/>
      <w:bookmarkEnd w:id="6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International transfers</w:t>
      </w:r>
    </w:p>
    <w:p w:rsidR="00000000" w:rsidDel="00000000" w:rsidP="00000000" w:rsidRDefault="00000000" w:rsidRPr="00000000" w14:paraId="00000034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${TABLE_RECORD_INTERNATIONAL_TRANSFERS} </w:t>
      </w:r>
    </w:p>
    <w:p w:rsidR="00000000" w:rsidDel="00000000" w:rsidP="00000000" w:rsidRDefault="00000000" w:rsidRPr="00000000" w14:paraId="00000035">
      <w:pPr>
        <w:pStyle w:val="Heading2"/>
        <w:numPr>
          <w:ilvl w:val="0"/>
          <w:numId w:val="1"/>
        </w:numPr>
        <w:ind w:left="284" w:hanging="360"/>
        <w:rPr>
          <w:rFonts w:ascii="Arial" w:cs="Arial" w:eastAsia="Arial" w:hAnsi="Arial"/>
          <w:color w:val="231f20"/>
        </w:rPr>
      </w:pPr>
      <w:bookmarkStart w:colFirst="0" w:colLast="0" w:name="_aaye7cv8mglv" w:id="7"/>
      <w:bookmarkEnd w:id="7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Processors</w:t>
      </w:r>
    </w:p>
    <w:p w:rsidR="00000000" w:rsidDel="00000000" w:rsidP="00000000" w:rsidRDefault="00000000" w:rsidRPr="00000000" w14:paraId="00000036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${TABLE_RECORD_PROCESSORS}</w:t>
      </w:r>
    </w:p>
    <w:sectPr>
      <w:headerReference r:id="rId7" w:type="default"/>
      <w:footerReference r:id="rId8" w:type="default"/>
      <w:footerReference r:id="rId9" w:type="first"/>
      <w:pgSz w:h="16838" w:w="11906" w:orient="portrait"/>
      <w:pgMar w:bottom="1140" w:top="1440" w:left="431" w:right="1140" w:header="561" w:footer="56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keepNext w:val="0"/>
      <w:keepLines w:val="0"/>
      <w:pageBreakBefore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-142" w:right="0" w:firstLine="0"/>
      <w:jc w:val="left"/>
      <w:rPr/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-71119</wp:posOffset>
          </wp:positionH>
          <wp:positionV relativeFrom="paragraph">
            <wp:posOffset>107950</wp:posOffset>
          </wp:positionV>
          <wp:extent cx="962941" cy="363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keepNext w:val="0"/>
      <w:keepLines w:val="0"/>
      <w:pageBreakBefore w:val="0"/>
      <w:widowControl w:val="0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47626</wp:posOffset>
          </wp:positionH>
          <wp:positionV relativeFrom="paragraph">
            <wp:posOffset>-54518</wp:posOffset>
          </wp:positionV>
          <wp:extent cx="1355753" cy="1011600"/>
          <wp:effectExtent b="0" l="0" r="0" t="0"/>
          <wp:wrapNone/>
          <wp:docPr id="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9810.0" w:type="dxa"/>
      <w:jc w:val="left"/>
      <w:tblBorders>
        <w:bottom w:color="000000" w:space="0" w:sz="4" w:val="single"/>
      </w:tblBorders>
      <w:tblLayout w:type="fixed"/>
      <w:tblLook w:val="0000"/>
    </w:tblPr>
    <w:tblGrid>
      <w:gridCol w:w="3510"/>
      <w:gridCol w:w="3240"/>
      <w:gridCol w:w="3060"/>
      <w:tblGridChange w:id="0">
        <w:tblGrid>
          <w:gridCol w:w="3510"/>
          <w:gridCol w:w="3240"/>
          <w:gridCol w:w="3060"/>
        </w:tblGrid>
      </w:tblGridChange>
    </w:tblGrid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8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A">
          <w:pPr>
            <w:tabs>
              <w:tab w:val="left" w:leader="none" w:pos="2343"/>
            </w:tabs>
            <w:spacing w:after="0" w:lineRule="auto"/>
            <w:jc w:val="right"/>
            <w:rPr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>
          <w:vAlign w:val="center"/>
        </w:tcPr>
        <w:p w:rsidR="00000000" w:rsidDel="00000000" w:rsidP="00000000" w:rsidRDefault="00000000" w:rsidRPr="00000000" w14:paraId="0000003B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color w:val="231f20"/>
              <w:sz w:val="16"/>
              <w:szCs w:val="16"/>
            </w:rPr>
          </w:pPr>
          <w:r w:rsidDel="00000000" w:rsidR="00000000" w:rsidRPr="00000000">
            <w:rPr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C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D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>
          <w:vAlign w:val="center"/>
        </w:tcPr>
        <w:p w:rsidR="00000000" w:rsidDel="00000000" w:rsidP="00000000" w:rsidRDefault="00000000" w:rsidRPr="00000000" w14:paraId="0000003E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F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0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>
          <w:vAlign w:val="center"/>
        </w:tcPr>
        <w:p w:rsidR="00000000" w:rsidDel="00000000" w:rsidP="00000000" w:rsidRDefault="00000000" w:rsidRPr="00000000" w14:paraId="00000041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2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3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>
          <w:vAlign w:val="center"/>
        </w:tcPr>
        <w:p w:rsidR="00000000" w:rsidDel="00000000" w:rsidP="00000000" w:rsidRDefault="00000000" w:rsidRPr="00000000" w14:paraId="00000044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5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6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vAlign w:val="center"/>
        </w:tcPr>
        <w:p w:rsidR="00000000" w:rsidDel="00000000" w:rsidP="00000000" w:rsidRDefault="00000000" w:rsidRPr="00000000" w14:paraId="00000047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8">
    <w:pPr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fr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  <property fmtid="{D5CDD505-2E9C-101B-9397-08002B2CF9AE}" pid="3" name="Date">
    <vt:lpwstr>02/04/2015</vt:lpwstr>
  </property>
  <property fmtid="{D5CDD505-2E9C-101B-9397-08002B2CF9AE}" pid="4" name="Classification">
    <vt:lpwstr>Confidentielle</vt:lpwstr>
  </property>
  <property fmtid="{D5CDD505-2E9C-101B-9397-08002B2CF9AE}" pid="5" name="Status">
    <vt:lpwstr>Final</vt:lpwstr>
  </property>
</Properties>
</file>