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231f20"/>
        </w:rPr>
      </w:pPr>
      <w:bookmarkStart w:colFirst="0" w:colLast="0" w:name="_llw8vipl3ze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bookmarkStart w:colFirst="0" w:colLast="0" w:name="7f8542jepaww" w:id="1"/>
    <w:bookmarkEnd w:id="1"/>
    <w:bookmarkStart w:colFirst="0" w:colLast="0" w:name="i3i29swes38w" w:id="2"/>
    <w:bookmarkEnd w:id="2"/>
    <w:p w:rsidR="00000000" w:rsidDel="00000000" w:rsidP="00000000" w:rsidRDefault="00000000" w:rsidRPr="00000000" w14:paraId="0000000C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fldChar w:fldCharType="begin"/>
        <w:instrText xml:space="preserve"> DOCPROPERTY "Subject"</w:instrText>
        <w:fldChar w:fldCharType="separate"/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Sécurité de l'information - MONARC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Informations générales</w:t>
      </w:r>
    </w:p>
    <w:p w:rsidR="00000000" w:rsidDel="00000000" w:rsidP="00000000" w:rsidRDefault="00000000" w:rsidRPr="00000000" w14:paraId="00000017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8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État document :</w:t>
        <w:tab/>
        <w:t xml:space="preserve">${STATE}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 :</w:t>
        <w:tab/>
        <w:t xml:space="preserve">${CLASSIFICATION}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Société :</w:t>
        <w:tab/>
        <w:t xml:space="preserve">${COMPANY}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 du document :</w:t>
        <w:tab/>
        <w:t xml:space="preserve">${DOCUMENT}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 :</w:t>
        <w:tab/>
        <w:t xml:space="preserve">${DATE}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Consultant(s) sécurité : </w:t>
        <w:tab/>
        <w:t xml:space="preserve">${SMILE}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Représentant(s) client : </w:t>
        <w:tab/>
        <w:t xml:space="preserve">${CLIENT}</w:t>
      </w:r>
    </w:p>
    <w:p w:rsidR="00000000" w:rsidDel="00000000" w:rsidP="00000000" w:rsidRDefault="00000000" w:rsidRPr="00000000" w14:paraId="0000001F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Table des matières</w:t>
      </w:r>
    </w:p>
    <w:sdt>
      <w:sdtPr>
        <w:id w:val="13078150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bkzx51m9wum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bkzx51m9wum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_bkzx51m9wumf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stvy7t9sq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ikstvy7t9sq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_ikstvy7t9sq5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Mise en contexte de l’analyse des risques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v1m0jmcd51f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v1m0jmcd51f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_v1m0jmcd51ff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Objectifs du document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o50dbhca2a8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o50dbhca2a8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_o50dbhca2a8y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Acronymes/Glossaire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m3uineg6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jnm3uineg6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_jnm3uineg65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Établissement du contexte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du7yylox5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6sdu7yylox5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_6sdu7yylox51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Description du contexte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hwr1juksy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p8hwr1juksy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_p8hwr1juksyq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Définition des critères d’évaluation du risque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43huvokohx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j143huvokoh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_j143huvokohx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Risques de l’information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2vhlinjsd8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2.2.1.1</w:t>
            </w:r>
          </w:hyperlink>
          <w:hyperlink w:anchor="_hh2vhlinjsd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_hh2vhlinjsd8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Échelle d’impacts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npq1kxkitu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2.2.1.2</w:t>
            </w:r>
          </w:hyperlink>
          <w:hyperlink w:anchor="_xznpq1kxkit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_xznpq1kxkitu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Échelle des menaces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8gxzau3rk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2.2.1.3</w:t>
            </w:r>
          </w:hyperlink>
          <w:hyperlink w:anchor="_348gxzau3r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_348gxzau3rk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Échelle des vulnérabilités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8q319et7f226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2.2.1.4</w:t>
            </w:r>
          </w:hyperlink>
          <w:hyperlink w:anchor="_8q319et7f22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_8q319et7f226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Seuils d’acceptation des risques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ehenji0cm0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31ehenji0cm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_31ehenji0cm0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Risques opérationnels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6byqswzfss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2.2.2.1</w:t>
            </w:r>
          </w:hyperlink>
          <w:hyperlink w:anchor="_fa6byqswzfs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_fa6byqswzfss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Échelle d’impacts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fhjepq939e2n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2.2.2.2</w:t>
            </w:r>
          </w:hyperlink>
          <w:hyperlink w:anchor="_fhjepq939e2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_fhjepq939e2n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Echelle de vraisemblance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qgkp4hwffgl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2.2.2.3</w:t>
            </w:r>
          </w:hyperlink>
          <w:hyperlink w:anchor="_qgkp4hwffg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_qgkp4hwffgl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Seuils d’acceptation des risques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i1vi6lk9627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i1vi6lk9627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_i1vi6lk9627h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Évaluation des tendances et des menaces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1i4la2oruf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2.3.1</w:t>
            </w:r>
          </w:hyperlink>
          <w:hyperlink w:anchor="_3i1i4la2oru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_3i1i4la2oruf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Analyse des tendances et des menaces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p7z9fmfjh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Annexe A : Interview et collecte de l’information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k2k5g7gok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Annexe B : Évaluation des tendances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wvzd46w6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Annexe C : Évaluation des menaces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ab/>
      </w:r>
    </w:p>
    <w:p w:rsidR="00000000" w:rsidDel="00000000" w:rsidP="00000000" w:rsidRDefault="00000000" w:rsidRPr="00000000" w14:paraId="00000037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Lu et approuvé par les différentes parties à nommer</w:t>
      </w:r>
    </w:p>
    <w:p w:rsidR="00000000" w:rsidDel="00000000" w:rsidP="00000000" w:rsidRDefault="00000000" w:rsidRPr="00000000" w14:paraId="00000041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bookmarkStart w:colFirst="0" w:colLast="0" w:name="_lhs9k3ayxmn5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bkzx51m9wumf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Introduction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ikstvy7t9sq5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Mise en contexte de l’analyse des risques</w:t>
      </w:r>
    </w:p>
    <w:p w:rsidR="00000000" w:rsidDel="00000000" w:rsidP="00000000" w:rsidRDefault="00000000" w:rsidRPr="00000000" w14:paraId="00000045">
      <w:pPr>
        <w:spacing w:before="240" w:lineRule="auto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spacing w:before="0" w:lineRule="auto"/>
        <w:ind w:left="576" w:hanging="576"/>
        <w:rPr>
          <w:rFonts w:ascii="Arial" w:cs="Arial" w:eastAsia="Arial" w:hAnsi="Arial"/>
          <w:color w:val="231f20"/>
        </w:rPr>
      </w:pPr>
      <w:bookmarkStart w:colFirst="0" w:colLast="0" w:name="_v1m0jmcd51ff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Objectifs du document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 document a pour objectif de présenter le contexte des risques, tel qu’il a été compris et transposé par la personne responsable de la gestion des risques.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 document doit être signé, pour lecture et acceptation par le management de l’organisme cible, afin de permettre de poursuivre la mission plus en avant.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o50dbhca2a8y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Acronymes/Glossaire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Actif 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Tout élément représentant de la valeur pour l'établissement.  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Confidentialité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 : Propriété d'une information de ne pas être disponible ou divulguée à des individus, entités ou processus non autorisés.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Disponibilité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 : Propriété d'être accessible et utilisable à la demande d'une entité autorisée.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Intégrité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 : Propriété de préservation de l'exactitude et de la complétude d'un bien.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MONARC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 : Méthode Optimisée d’Analyse des Risques CASES.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jnm3uineg65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Établissement du contexte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6sdu7yylox51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Description du contexte 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${CONTEXT_GEST_RISK}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spacing w:before="0" w:lineRule="auto"/>
        <w:ind w:left="576" w:hanging="576"/>
        <w:rPr>
          <w:rFonts w:ascii="Arial" w:cs="Arial" w:eastAsia="Arial" w:hAnsi="Arial"/>
          <w:color w:val="231f20"/>
        </w:rPr>
      </w:pPr>
      <w:bookmarkStart w:colFirst="0" w:colLast="0" w:name="_p8hwr1juksyq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Définition des critères d’évaluation du risque</w:t>
      </w:r>
    </w:p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ind w:left="709" w:hanging="720"/>
        <w:rPr>
          <w:rFonts w:ascii="Arial" w:cs="Arial" w:eastAsia="Arial" w:hAnsi="Arial"/>
          <w:color w:val="231f20"/>
        </w:rPr>
      </w:pPr>
      <w:bookmarkStart w:colFirst="0" w:colLast="0" w:name="_j143huvokohx" w:id="11"/>
      <w:bookmarkEnd w:id="1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Risques de l’information</w:t>
      </w:r>
    </w:p>
    <w:p w:rsidR="00000000" w:rsidDel="00000000" w:rsidP="00000000" w:rsidRDefault="00000000" w:rsidRPr="00000000" w14:paraId="00000054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hh2vhlinjsd8" w:id="12"/>
      <w:bookmarkEnd w:id="1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Échelle d’impacts</w:t>
      </w:r>
    </w:p>
    <w:p w:rsidR="00000000" w:rsidDel="00000000" w:rsidP="00000000" w:rsidRDefault="00000000" w:rsidRPr="00000000" w14:paraId="00000055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La table ci-dessous représente l’échelle d’impact et des conséquences que peut avoir un risque sur l’établissement. 0 n’étant pas d’impact, donc il n'a pas de risque.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${SCALE_IMPACT}</w:t>
      </w:r>
    </w:p>
    <w:p w:rsidR="00000000" w:rsidDel="00000000" w:rsidP="00000000" w:rsidRDefault="00000000" w:rsidRPr="00000000" w14:paraId="00000058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xznpq1kxkitu" w:id="13"/>
      <w:bookmarkEnd w:id="1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Échelle des menaces</w:t>
      </w:r>
    </w:p>
    <w:p w:rsidR="00000000" w:rsidDel="00000000" w:rsidP="00000000" w:rsidRDefault="00000000" w:rsidRPr="00000000" w14:paraId="00000059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La table ci-dessous représente l’échelle de probabilité de survenance d’une menace.</w:t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${SCALE_THREAT}</w:t>
      </w:r>
    </w:p>
    <w:p w:rsidR="00000000" w:rsidDel="00000000" w:rsidP="00000000" w:rsidRDefault="00000000" w:rsidRPr="00000000" w14:paraId="0000005C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348gxzau3rk" w:id="14"/>
      <w:bookmarkEnd w:id="1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Échelle des vulnérabilités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La table ci-dessous représente l’échelle de vulnérabilité de l’actif considéré. La qualification de la vulnérabilité prend en compte les mesures de sécurité en place.</w:t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color w:val="231f20"/>
          <w:highlight w:val="yellow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${SCALE_VULN}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8q319et7f226" w:id="15"/>
      <w:bookmarkEnd w:id="1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Seuils d’acceptation des risques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La table ci-dessous représente la table de calcul des risques. Les couleurs sont à titre indicatif et devront être acceptées et/ou modifiées par le conseil d'administration / comité de direction. </w:t>
      </w:r>
    </w:p>
    <w:p w:rsidR="00000000" w:rsidDel="00000000" w:rsidP="00000000" w:rsidRDefault="00000000" w:rsidRPr="00000000" w14:paraId="00000063">
      <w:pPr>
        <w:ind w:firstLine="709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Rouge</w:t>
        <w:tab/>
        <w:tab/>
        <w:t xml:space="preserve">: Risque inacceptable devant être traité</w:t>
      </w:r>
    </w:p>
    <w:p w:rsidR="00000000" w:rsidDel="00000000" w:rsidP="00000000" w:rsidRDefault="00000000" w:rsidRPr="00000000" w14:paraId="00000064">
      <w:pPr>
        <w:ind w:firstLine="709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Orange</w:t>
        <w:tab/>
        <w:t xml:space="preserve">: Risque moyen qui selon le cas devrait ou non, être traité</w:t>
      </w:r>
    </w:p>
    <w:p w:rsidR="00000000" w:rsidDel="00000000" w:rsidP="00000000" w:rsidRDefault="00000000" w:rsidRPr="00000000" w14:paraId="00000065">
      <w:pPr>
        <w:ind w:firstLine="709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Vert</w:t>
        <w:tab/>
        <w:tab/>
        <w:t xml:space="preserve">: Risque faible ne nécessitant aucune action   </w:t>
      </w:r>
    </w:p>
    <w:p w:rsidR="00000000" w:rsidDel="00000000" w:rsidP="00000000" w:rsidRDefault="00000000" w:rsidRPr="00000000" w14:paraId="00000066">
      <w:pPr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${TABLE_RISKS}</w:t>
      </w:r>
    </w:p>
    <w:p w:rsidR="00000000" w:rsidDel="00000000" w:rsidP="00000000" w:rsidRDefault="00000000" w:rsidRPr="00000000" w14:paraId="00000067">
      <w:pPr>
        <w:pStyle w:val="Heading3"/>
        <w:numPr>
          <w:ilvl w:val="2"/>
          <w:numId w:val="1"/>
        </w:numPr>
        <w:ind w:left="709" w:hanging="720"/>
        <w:rPr>
          <w:rFonts w:ascii="Arial" w:cs="Arial" w:eastAsia="Arial" w:hAnsi="Arial"/>
          <w:color w:val="231f20"/>
        </w:rPr>
      </w:pPr>
      <w:bookmarkStart w:colFirst="0" w:colLast="0" w:name="_31ehenji0cm0" w:id="16"/>
      <w:bookmarkEnd w:id="1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Risques opérationnels</w:t>
      </w:r>
    </w:p>
    <w:p w:rsidR="00000000" w:rsidDel="00000000" w:rsidP="00000000" w:rsidRDefault="00000000" w:rsidRPr="00000000" w14:paraId="00000068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fa6byqswzfss" w:id="17"/>
      <w:bookmarkEnd w:id="1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Échelle d’impacts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${OP_RISKS_SCALE_IMPACT}</w:t>
      </w:r>
    </w:p>
    <w:p w:rsidR="00000000" w:rsidDel="00000000" w:rsidP="00000000" w:rsidRDefault="00000000" w:rsidRPr="00000000" w14:paraId="0000006A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fhjepq939e2n" w:id="18"/>
      <w:bookmarkEnd w:id="1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Echelle de vraisemblance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${OP_RISKS_SCALE_LIKELIHOOD}</w:t>
      </w:r>
    </w:p>
    <w:p w:rsidR="00000000" w:rsidDel="00000000" w:rsidP="00000000" w:rsidRDefault="00000000" w:rsidRPr="00000000" w14:paraId="0000006C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qgkp4hwffgl" w:id="19"/>
      <w:bookmarkEnd w:id="1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Seuils d’acceptation des risques</w:t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${TABLE_OP_RISKS}</w:t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i1vi6lk9627h" w:id="20"/>
      <w:bookmarkEnd w:id="2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Évaluation des tendances et des menaces</w:t>
      </w:r>
    </w:p>
    <w:p w:rsidR="00000000" w:rsidDel="00000000" w:rsidP="00000000" w:rsidRDefault="00000000" w:rsidRPr="00000000" w14:paraId="0000006F">
      <w:pPr>
        <w:pStyle w:val="Heading3"/>
        <w:numPr>
          <w:ilvl w:val="2"/>
          <w:numId w:val="1"/>
        </w:numPr>
        <w:ind w:left="709" w:hanging="720"/>
        <w:rPr>
          <w:rFonts w:ascii="Arial" w:cs="Arial" w:eastAsia="Arial" w:hAnsi="Arial"/>
          <w:color w:val="231f20"/>
        </w:rPr>
      </w:pPr>
      <w:bookmarkStart w:colFirst="0" w:colLast="0" w:name="_3i1i4la2oruf" w:id="21"/>
      <w:bookmarkEnd w:id="2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Analyse des tendances et des menaces</w:t>
      </w:r>
    </w:p>
    <w:p w:rsidR="00000000" w:rsidDel="00000000" w:rsidP="00000000" w:rsidRDefault="00000000" w:rsidRPr="00000000" w14:paraId="00000070">
      <w:pPr>
        <w:spacing w:before="240" w:lineRule="auto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${SYNTH_EVAL_THREAT}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La table ci-dessous représente les menaces qui ont fait l’objet d’une attention particulière.</w:t>
      </w:r>
    </w:p>
    <w:p w:rsidR="00000000" w:rsidDel="00000000" w:rsidP="00000000" w:rsidRDefault="00000000" w:rsidRPr="00000000" w14:paraId="00000072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gzp7z9fmfjhk" w:id="22"/>
      <w:bookmarkEnd w:id="2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Annexe A : Interview et collecte de l’information</w:t>
      </w:r>
    </w:p>
    <w:p w:rsidR="00000000" w:rsidDel="00000000" w:rsidP="00000000" w:rsidRDefault="00000000" w:rsidRPr="00000000" w14:paraId="00000075">
      <w:pPr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q0k2k5g7gokp" w:id="23"/>
      <w:bookmarkEnd w:id="2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Annexe B : Évaluation des tendances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${TABLE_EVAL_TEND}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bzwvzd46w6q9" w:id="24"/>
      <w:bookmarkEnd w:id="2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Annexe C : Évaluation des menaces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${TABLE_THREATS_FULL}</w:t>
      </w:r>
    </w:p>
    <w:sectPr>
      <w:headerReference r:id="rId7" w:type="default"/>
      <w:footerReference r:id="rId8" w:type="default"/>
      <w:pgSz w:h="16838" w:w="11906" w:orient="portrait"/>
      <w:pgMar w:bottom="245" w:top="1440" w:left="432" w:right="1138" w:header="562" w:footer="56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85726</wp:posOffset>
          </wp:positionH>
          <wp:positionV relativeFrom="paragraph">
            <wp:posOffset>-73568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B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7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0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État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8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3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84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6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Société</w:t>
          </w:r>
        </w:p>
      </w:tc>
      <w:tc>
        <w:tcPr>
          <w:vAlign w:val="center"/>
        </w:tcPr>
        <w:p w:rsidR="00000000" w:rsidDel="00000000" w:rsidP="00000000" w:rsidRDefault="00000000" w:rsidRPr="00000000" w14:paraId="0000008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9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 du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8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-LU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Sécurité de l'information - MONARC</vt:lpwstr>
  </property>
</Properties>
</file>