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3cvreaybrju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bookmarkStart w:colFirst="0" w:colLast="0" w:name="cg13lt137qrk" w:id="1"/>
    <w:bookmarkEnd w:id="1"/>
    <w:bookmarkStart w:colFirst="0" w:colLast="0" w:name="6blk72uzxd32" w:id="2"/>
    <w:bookmarkEnd w:id="2"/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fldChar w:fldCharType="begin"/>
        <w:instrText xml:space="preserve"> DOCPROPERTY "Subject"</w:instrText>
        <w:fldChar w:fldCharType="separate"/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Sécurité de l'information - MONARC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Informations générales</w:t>
      </w:r>
    </w:p>
    <w:p w:rsidR="00000000" w:rsidDel="00000000" w:rsidP="00000000" w:rsidRDefault="00000000" w:rsidRPr="00000000" w14:paraId="00000018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État document :</w:t>
        <w:tab/>
        <w:t xml:space="preserve">${STATE}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Société :</w:t>
        <w:tab/>
        <w:t xml:space="preserve">${COMPANY}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 du document :</w:t>
        <w:tab/>
        <w:t xml:space="preserve">${DOCUMENT}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Consultant(s) sécurité : </w:t>
        <w:tab/>
        <w:t xml:space="preserve">${SMILE}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Représentant(s) client : </w:t>
        <w:tab/>
        <w:t xml:space="preserve">${CLIENT}</w:t>
      </w:r>
    </w:p>
    <w:p w:rsidR="00000000" w:rsidDel="00000000" w:rsidP="00000000" w:rsidRDefault="00000000" w:rsidRPr="00000000" w14:paraId="00000020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4906319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szp0claod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9szp0claod8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_9szp0claod8n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4hy72wknq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le4hy72wknq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_le4hy72wknqr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Mise en contexte de l’analyse des risques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aj6mefqw7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xlaj6mefqw7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_xlaj6mefqw7k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Objectifs du document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3kr20msg87v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3kr20msg87v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_3kr20msg87vc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Acronymes/Glossaire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rx2c19x5m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ngrx2c19x5m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_ngrx2c19x5m7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Modélisation du contexte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shx6yo3w7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vwshx6yo3w7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_vwshx6yo3w7k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Identification des actifs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28r312h0i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ru28r312h0i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_ru28r312h0iz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Identification des vulnérabilités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nenujjdmz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uznenujjdmz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_uznenujjdmzh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Appréciation des conséquences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61xle9v6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Annexe A : Interview et collecte de l’information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Lu et approuvé par les différentes parties à nommer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ind w:right="0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9szp0claod8n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Introduction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le4hy72wknqr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Mise en contexte de l’analyse des risques</w:t>
      </w:r>
    </w:p>
    <w:p w:rsidR="00000000" w:rsidDel="00000000" w:rsidP="00000000" w:rsidRDefault="00000000" w:rsidRPr="00000000" w14:paraId="00000037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xlaj6mefqw7k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Objectifs du document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 document a pour objectif de présenter le contexte des risques, tel qu’il a été compris et transposé par la personne responsable de la gestion des risques.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 document doit être signé, pour lecture et acceptation par le management de l’organisme cible, afin de permettre de poursuivre la mission plus en avant.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3kr20msg87vc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Acronymes/Glossaire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Actif 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Tout élément représentant de la valeur pour l'établissement.  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Confidentialité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Propriété d'une information de ne pas être disponible ou divulguée à des individus, entités ou processus non autorisés.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Disponibilité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Propriété d'être accessible et utilisable à la demande d'une entité autorisée.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Intégrité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Propriété de préservation de l'exactitude et de la complétude d'un bien.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Méthode Optimisée d’Analyse des Risques CASES.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ngrx2c19x5m7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Modélisation du contexte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vwshx6yo3w7k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Identification des actifs 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${SYNTH_ACTIF}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ru28r312h0iz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Identification des vulnérabilités 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L’utilisation de la modélisation de MONARC et de ses objets permet d’identifier les vulnérabilités avec une granularité suffisante pour cette itération d’analyse des risques. 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Il reste toutefois à la discrétion des consultants de créer de nouveaux risques contextuels qu’ils pourraient découvrir pendant la mission.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uznenujjdmzh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Appréciation des conséquences</w:t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color w:val="231f20"/>
        </w:rPr>
      </w:pPr>
      <w:bookmarkStart w:colFirst="0" w:colLast="0" w:name="_caz5buyfwqzh" w:id="11"/>
      <w:bookmarkEnd w:id="1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 table ci-dessous représente la table des impacts pour les actifs essentiels de ${COMPANY}. Pour un gain de temps, tous les actifs secondaires qui entreront dans la modélisation des actifs essentiels vont hériter de ces impacts par défauts, mais pourront être raffinés manuellement.</w:t>
      </w:r>
    </w:p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${IMPACTS_APPRECIATION}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8m61xle9v660" w:id="12"/>
      <w:bookmarkEnd w:id="1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Annexe A : Interview et collecte de l’information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sectPr>
      <w:headerReference r:id="rId7" w:type="default"/>
      <w:footerReference r:id="rId8" w:type="default"/>
      <w:pgSz w:h="16838" w:w="11906" w:orient="portrait"/>
      <w:pgMar w:bottom="245" w:top="1440" w:left="432" w:right="1138" w:header="562" w:footer="56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85726</wp:posOffset>
          </wp:positionH>
          <wp:positionV relativeFrom="paragraph">
            <wp:posOffset>-73568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F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1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52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4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5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58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A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5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