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●：主要負責    ○ ：協助負責</w:t>
      </w:r>
    </w:p>
    <w:tbl>
      <w:tblPr>
        <w:tblStyle w:val="Table1"/>
        <w:tblW w:w="9284.999999999998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034059945504"/>
        <w:gridCol w:w="1480.034059945504"/>
        <w:gridCol w:w="1264.9863760217982"/>
        <w:gridCol w:w="1264.9863760217982"/>
        <w:gridCol w:w="1264.9863760217982"/>
        <w:gridCol w:w="1264.9863760217982"/>
        <w:gridCol w:w="1264.9863760217982"/>
        <w:tblGridChange w:id="0">
          <w:tblGrid>
            <w:gridCol w:w="1480.034059945504"/>
            <w:gridCol w:w="1480.034059945504"/>
            <w:gridCol w:w="1264.9863760217982"/>
            <w:gridCol w:w="1264.9863760217982"/>
            <w:gridCol w:w="1264.9863760217982"/>
            <w:gridCol w:w="1264.9863760217982"/>
            <w:gridCol w:w="1264.9863760217982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工作分配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張惟婷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凌振欽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楊育涵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閻逸瑄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洪宇姍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題目發想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功能探討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需求分析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系統功能分析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Prototype設計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UI/UX設計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資料庫設計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資料庫建置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網頁建置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後端程式撰寫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API撰寫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網站開發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網站測試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簡報製作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影片製作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文件製作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文件撰寫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簡報製作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