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1827"/>
          <w:sz w:val="32"/>
        </w:rPr>
        <w:t>Client Communication Etiquette</w:t>
      </w:r>
    </w:p>
    <w:p>
      <w:r>
        <w:rPr>
          <w:i/>
          <w:color w:val="6B7280"/>
          <w:sz w:val="20"/>
        </w:rPr>
        <w:t>How to sound like the professional running the account, not just the person typing the update.</w:t>
      </w:r>
    </w:p>
    <w:p>
      <w:pPr>
        <w:pStyle w:val="Heading2"/>
      </w:pPr>
      <w:r>
        <w:t>Response time</w:t>
      </w:r>
    </w:p>
    <w:p>
      <w:r>
        <w:t>Acknowledge every client message within one business day, even if the honest answer is "still looking into this, will have an update by [date]." A fast acknowledgment with no answer yet builds more trust than silence followed by a complete one.</w:t>
      </w:r>
    </w:p>
    <w:p>
      <w:pPr>
        <w:pStyle w:val="ListBullet"/>
      </w:pPr>
      <w:r>
        <w:rPr>
          <w:b/>
        </w:rPr>
        <w:t xml:space="preserve">Response time by situation — </w:t>
      </w:r>
      <w:r>
        <w:t xml:space="preserve"> Urgent (account suspended, budget exhausted, listing down): same business day.</w:t>
      </w:r>
    </w:p>
    <w:p>
      <w:pPr>
        <w:pStyle w:val="ListBullet"/>
      </w:pPr>
      <w:r>
        <w:t xml:space="preserve"> Standard question or request: within 1 business day.</w:t>
      </w:r>
    </w:p>
    <w:p>
      <w:pPr>
        <w:pStyle w:val="ListBullet"/>
      </w:pPr>
      <w:r>
        <w:t xml:space="preserve"> Routine reporting: on the agreed cadence, not "whenever it's ready."</w:t>
      </w:r>
    </w:p>
    <w:p>
      <w:pPr>
        <w:pStyle w:val="Heading2"/>
      </w:pPr>
      <w:r>
        <w:t>Tone and language</w:t>
      </w:r>
    </w:p>
    <w:p>
      <w:pPr>
        <w:pStyle w:val="ListBullet"/>
      </w:pPr>
      <w:r>
        <w:rPr>
          <w:b/>
        </w:rPr>
        <w:t xml:space="preserve">Be precise, not dramatic — </w:t>
      </w:r>
      <w:r>
        <w:t xml:space="preserve"> "Spend was higher than planned this week" instead of "the campaign went crazy."</w:t>
      </w:r>
    </w:p>
    <w:p>
      <w:pPr>
        <w:pStyle w:val="ListBullet"/>
      </w:pPr>
      <w:r>
        <w:rPr>
          <w:b/>
        </w:rPr>
        <w:t xml:space="preserve">Always pair a number with what it means — </w:t>
      </w:r>
      <w:r>
        <w:t xml:space="preserve"> a stat with no context ("ACOS is 45%") means nothing to most clients without a target to compare it to.</w:t>
      </w:r>
    </w:p>
    <w:p>
      <w:pPr>
        <w:pStyle w:val="ListBullet"/>
      </w:pPr>
      <w:r>
        <w:rPr>
          <w:b/>
        </w:rPr>
        <w:t xml:space="preserve">Avoid jargon the client hasn't heard from you before — </w:t>
      </w:r>
      <w:r>
        <w:t xml:space="preserve"> "leverage," "synergy," and unexplained acronyms make a client feel like they're being talked past, not talked to.</w:t>
      </w:r>
    </w:p>
    <w:p>
      <w:pPr>
        <w:pStyle w:val="ListBullet"/>
      </w:pPr>
      <w:r>
        <w:rPr>
          <w:b/>
        </w:rPr>
        <w:t xml:space="preserve">Show your work — </w:t>
      </w:r>
      <w:r>
        <w:t xml:space="preserve"> name the action taken, even for routine changes: "added 12 negative keywords" reads as active management; a silent account reads as neglected, even when it's performing fine.</w:t>
      </w:r>
    </w:p>
    <w:p>
      <w:pPr>
        <w:pStyle w:val="Heading2"/>
      </w:pPr>
      <w:r>
        <w:t>Delivering bad news</w:t>
      </w:r>
    </w:p>
    <w:p>
      <w:r>
        <w:t>Lead with the fact, not an apology or a excuse. State what happened, why, and what you're doing about it — in that order. A client can handle bad news; what erodes trust is bad news that arrives late, or arrives dressed up to sound better than it is.</w:t>
      </w:r>
    </w:p>
    <w:p>
      <w:pPr>
        <w:pStyle w:val="ListBullet"/>
      </w:pPr>
      <w:r>
        <w:rPr>
          <w:b/>
        </w:rPr>
        <w:t>1. State the fact —</w:t>
      </w:r>
      <w:r>
        <w:t xml:space="preserve"> what happened, in one sentence.</w:t>
      </w:r>
    </w:p>
    <w:p>
      <w:pPr>
        <w:pStyle w:val="ListBullet"/>
      </w:pPr>
      <w:r>
        <w:rPr>
          <w:b/>
        </w:rPr>
        <w:t>2. State the cause —</w:t>
      </w:r>
      <w:r>
        <w:t xml:space="preserve"> one sentence, factual, not defensive.</w:t>
      </w:r>
    </w:p>
    <w:p>
      <w:pPr>
        <w:pStyle w:val="ListBullet"/>
      </w:pPr>
      <w:r>
        <w:rPr>
          <w:b/>
        </w:rPr>
        <w:t>3. State the fix —</w:t>
      </w:r>
      <w:r>
        <w:t xml:space="preserve"> what you've already done or are about to do.</w:t>
      </w:r>
    </w:p>
    <w:p>
      <w:pPr>
        <w:pStyle w:val="ListBullet"/>
      </w:pPr>
      <w:r>
        <w:rPr>
          <w:b/>
        </w:rPr>
        <w:t>4. Ask for input —</w:t>
      </w:r>
      <w:r>
        <w:t xml:space="preserve"> only if it's genuinely their call.</w:t>
      </w:r>
    </w:p>
    <w:p>
      <w:pPr>
        <w:pStyle w:val="Heading2"/>
      </w:pPr>
      <w:r>
        <w:t>When to decide vs. when to escalate</w:t>
      </w:r>
    </w:p>
    <w:p>
      <w:r>
        <w:t>Use the account's agreed guardrails (target ACOS, budget ceiling, approved campaign types) as the line. Inside the guardrails, act and report what you did. Outside them — a budget increase beyond the agreed ceiling, a new ad format not yet discussed, anything with brand or legal risk — ask first, don't inform after the fact.</w:t>
      </w:r>
    </w:p>
    <w:p>
      <w:pPr>
        <w:pStyle w:val="Heading2"/>
      </w:pPr>
      <w:r>
        <w:t>Boundaries that protect the relationship</w:t>
      </w:r>
    </w:p>
    <w:p>
      <w:pPr>
        <w:pStyle w:val="ListBullet"/>
      </w:pPr>
      <w:r>
        <w:rPr>
          <w:b/>
        </w:rPr>
        <w:t xml:space="preserve">Never guarantee a result — </w:t>
      </w:r>
      <w:r>
        <w:t xml:space="preserve"> don't promise a specific ACOS, sales number, or ranking — Amazon Ads doesn't guarantee outcomes, and neither should you.</w:t>
      </w:r>
    </w:p>
    <w:p>
      <w:pPr>
        <w:pStyle w:val="ListBullet"/>
      </w:pPr>
      <w:r>
        <w:rPr>
          <w:b/>
        </w:rPr>
        <w:t xml:space="preserve">Be clear about what's in scope — </w:t>
      </w:r>
      <w:r>
        <w:t xml:space="preserve"> if a client asks for something outside scope (organic SEO, listing copywriting, customer service), say so plainly and route it to whoever owns that.</w:t>
      </w:r>
    </w:p>
    <w:p>
      <w:pPr>
        <w:pStyle w:val="ListBullet"/>
      </w:pPr>
      <w:r>
        <w:rPr>
          <w:b/>
        </w:rPr>
        <w:t xml:space="preserve">Don't take on requests you can't ethically fulfill — </w:t>
      </w:r>
      <w:r>
        <w:t xml:space="preserve"> if a request conflicts with Amazon's Ads policies or Terms of Service, say why you can't do it — don't quietly ignore it or do it anyway.</w:t>
      </w:r>
    </w:p>
    <w:p>
      <w:r>
        <w:rPr>
          <w:i/>
          <w:color w:val="6B7280"/>
          <w:sz w:val="17"/>
        </w:rPr>
        <w:t>This handout covers tone and process, not legal or contractual obligations — check your own agency's or freelance contract for anything that overrides general guidance here.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Project Amazon PH Academy — Download Center. Educational reference material; verify against current Amazon Ads policy and your account's own data before acting.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Project Amazon PH Academy — Download Center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