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Project Overview</w:t>
      </w:r>
    </w:p>
    <w:p>
      <w:pPr>
        <w:spacing w:after="240"/>
      </w:pPr>
      <w:r>
        <w:rPr>
          <w:b/>
          <w:bCs/>
          <w:color w:val="444444"/>
          <w:sz w:val="28"/>
          <w:szCs w:val="28"/>
        </w:rPr>
        <w:t xml:space="preserve">Quantum Conditional Boltzmann Machines on Real Financial Time Series</w:t>
      </w:r>
    </w:p>
    <w:p>
      <w:pPr>
        <w:spacing w:after="160"/>
      </w:pPr>
      <w:r>
        <w:rPr>
          <w:b/>
          <w:bCs/>
        </w:rPr>
        <w:t xml:space="preserve">Working Title: </w:t>
      </w:r>
      <w:r>
        <w:t xml:space="preserve">Quantum Conditional Boltzmann Machines on Real Financial Data: A Scaling Study of the Quantum Advantage Gap</w:t>
      </w:r>
    </w:p>
    <w:p>
      <w:pPr>
        <w:spacing w:after="160"/>
      </w:pPr>
      <w:r>
        <w:rPr>
          <w:b/>
          <w:bCs/>
        </w:rPr>
        <w:t xml:space="preserve">Base Paper: </w:t>
      </w:r>
      <w:r>
        <w:t xml:space="preserve">Hellstern, G., Maheshwari, D., Zaefferer, M., Braun, M., Döhler, T. (2026). “Variational Quantum Conditional Boltzmann Machines for Time-Series Forecasting: Architectures, Symmetric Hyperparameter Evaluation, and a Nonlinear Benchmark.” arXiv:2607.24065</w:t>
      </w:r>
    </w:p>
    <w:p>
      <w:pPr>
        <w:pBdr>
          <w:bottom w:val="single" w:color="AAAAAA" w:sz="6" w:space="1"/>
        </w:pBdr>
        <w:spacing w:after="240"/>
      </w:pPr>
    </w:p>
    <w:p>
      <w:pPr>
        <w:pStyle w:val="Heading1"/>
        <w:spacing w:after="160" w:before="320"/>
      </w:pPr>
      <w:r>
        <w:t xml:space="preserve">1. What the Base Paper Solves</w:t>
      </w:r>
    </w:p>
    <w:p>
      <w:pPr>
        <w:spacing w:after="160"/>
      </w:pPr>
      <w:r>
        <w:t xml:space="preserve">The base paper builds and rigorously compares four conditional energy-based forecasting architectures: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000"/>
        <w:gridCol w:w="7580"/>
      </w:tblGrid>
      <w:tr>
        <w:trPr>
          <w:tblHeader/>
        </w:trPr>
        <w:tc>
          <w:tcPr>
            <w:tcW w:type="dxa" w:w="2000"/>
            <w:shd w:fill="1F4E79" w:color="auto" w:val="clear"/>
            <w:tcMar>
              <w:top w:type="dxa" w:w="80"/>
              <w:left w:type="dxa" w:w="120"/>
              <w:bottom w:type="dxa" w:w="80"/>
              <w:right w:type="dxa" w:w="120"/>
            </w:tcMar>
          </w:tcPr>
          <w:p>
            <w:r>
              <w:rPr>
                <w:b/>
                <w:bCs/>
                <w:color w:val="FFFFFF"/>
                <w:sz w:val="20"/>
                <w:szCs w:val="20"/>
              </w:rPr>
              <w:t xml:space="preserve">Model</w:t>
            </w:r>
          </w:p>
        </w:tc>
        <w:tc>
          <w:tcPr>
            <w:tcW w:type="dxa" w:w="7580"/>
            <w:shd w:fill="1F4E79" w:color="auto" w:val="clear"/>
            <w:tcMar>
              <w:top w:type="dxa" w:w="80"/>
              <w:left w:type="dxa" w:w="120"/>
              <w:bottom w:type="dxa" w:w="80"/>
              <w:right w:type="dxa" w:w="120"/>
            </w:tcMar>
          </w:tcPr>
          <w:p>
            <w:r>
              <w:rPr>
                <w:b/>
                <w:bCs/>
                <w:color w:val="FFFFFF"/>
                <w:sz w:val="20"/>
                <w:szCs w:val="20"/>
              </w:rPr>
              <w:t xml:space="preserve">Description</w:t>
            </w:r>
          </w:p>
        </w:tc>
      </w:tr>
      <w:tr>
        <w:tc>
          <w:tcPr>
            <w:tcW w:type="dxa" w:w="2000"/>
            <w:tcMar>
              <w:top w:type="dxa" w:w="80"/>
              <w:left w:type="dxa" w:w="120"/>
              <w:bottom w:type="dxa" w:w="80"/>
              <w:right w:type="dxa" w:w="120"/>
            </w:tcMar>
          </w:tcPr>
          <w:p>
            <w:r>
              <w:rPr>
                <w:b w:val="false"/>
                <w:bCs w:val="false"/>
                <w:sz w:val="20"/>
                <w:szCs w:val="20"/>
              </w:rPr>
              <w:t xml:space="preserve">CRBM</w:t>
            </w:r>
          </w:p>
        </w:tc>
        <w:tc>
          <w:tcPr>
            <w:tcW w:type="dxa" w:w="7580"/>
            <w:tcMar>
              <w:top w:type="dxa" w:w="80"/>
              <w:left w:type="dxa" w:w="120"/>
              <w:bottom w:type="dxa" w:w="80"/>
              <w:right w:type="dxa" w:w="120"/>
            </w:tcMar>
          </w:tcPr>
          <w:p>
            <w:r>
              <w:rPr>
                <w:b w:val="false"/>
                <w:bCs w:val="false"/>
                <w:sz w:val="20"/>
                <w:szCs w:val="20"/>
              </w:rPr>
              <w:t xml:space="preserve">Classical Gaussian–Bernoulli Conditional Restricted Boltzmann Machine (baseline)</w:t>
            </w:r>
          </w:p>
        </w:tc>
      </w:tr>
      <w:tr>
        <w:tc>
          <w:tcPr>
            <w:tcW w:type="dxa" w:w="2000"/>
            <w:tcMar>
              <w:top w:type="dxa" w:w="80"/>
              <w:left w:type="dxa" w:w="120"/>
              <w:bottom w:type="dxa" w:w="80"/>
              <w:right w:type="dxa" w:w="120"/>
            </w:tcMar>
          </w:tcPr>
          <w:p>
            <w:r>
              <w:rPr>
                <w:b w:val="false"/>
                <w:bCs w:val="false"/>
                <w:sz w:val="20"/>
                <w:szCs w:val="20"/>
              </w:rPr>
              <w:t xml:space="preserve">QCRBM</w:t>
            </w:r>
          </w:p>
        </w:tc>
        <w:tc>
          <w:tcPr>
            <w:tcW w:type="dxa" w:w="7580"/>
            <w:tcMar>
              <w:top w:type="dxa" w:w="80"/>
              <w:left w:type="dxa" w:w="120"/>
              <w:bottom w:type="dxa" w:w="80"/>
              <w:right w:type="dxa" w:w="120"/>
            </w:tcMar>
          </w:tcPr>
          <w:p>
            <w:r>
              <w:rPr>
                <w:b w:val="false"/>
                <w:bCs w:val="false"/>
                <w:sz w:val="20"/>
                <w:szCs w:val="20"/>
              </w:rPr>
              <w:t xml:space="preserve">Hybrid model — a variational quantum circuit (PQC) adds a nonlinear correction to the hidden-unit logits; recovers the classical CRBM exactly when its quantum scale α=0</w:t>
            </w:r>
          </w:p>
        </w:tc>
      </w:tr>
      <w:tr>
        <w:tc>
          <w:tcPr>
            <w:tcW w:type="dxa" w:w="2000"/>
            <w:tcMar>
              <w:top w:type="dxa" w:w="80"/>
              <w:left w:type="dxa" w:w="120"/>
              <w:bottom w:type="dxa" w:w="80"/>
              <w:right w:type="dxa" w:w="120"/>
            </w:tcMar>
          </w:tcPr>
          <w:p>
            <w:r>
              <w:rPr>
                <w:b w:val="false"/>
                <w:bCs w:val="false"/>
                <w:sz w:val="20"/>
                <w:szCs w:val="20"/>
              </w:rPr>
              <w:t xml:space="preserve">QQRBM</w:t>
            </w:r>
          </w:p>
        </w:tc>
        <w:tc>
          <w:tcPr>
            <w:tcW w:type="dxa" w:w="7580"/>
            <w:tcMar>
              <w:top w:type="dxa" w:w="80"/>
              <w:left w:type="dxa" w:w="120"/>
              <w:bottom w:type="dxa" w:w="80"/>
              <w:right w:type="dxa" w:w="120"/>
            </w:tcMar>
          </w:tcPr>
          <w:p>
            <w:r>
              <w:rPr>
                <w:b w:val="false"/>
                <w:bCs w:val="false"/>
                <w:sz w:val="20"/>
                <w:szCs w:val="20"/>
              </w:rPr>
              <w:t xml:space="preserve">Fully quantum, full-register model — visible, hidden, and context registers are jointly entangled via a shared PQC</w:t>
            </w:r>
          </w:p>
        </w:tc>
      </w:tr>
      <w:tr>
        <w:tc>
          <w:tcPr>
            <w:tcW w:type="dxa" w:w="2000"/>
            <w:tcMar>
              <w:top w:type="dxa" w:w="80"/>
              <w:left w:type="dxa" w:w="120"/>
              <w:bottom w:type="dxa" w:w="80"/>
              <w:right w:type="dxa" w:w="120"/>
            </w:tcMar>
          </w:tcPr>
          <w:p>
            <w:r>
              <w:rPr>
                <w:b w:val="false"/>
                <w:bCs w:val="false"/>
                <w:sz w:val="20"/>
                <w:szCs w:val="20"/>
              </w:rPr>
              <w:t xml:space="preserve">QFeatureQRBM</w:t>
            </w:r>
          </w:p>
        </w:tc>
        <w:tc>
          <w:tcPr>
            <w:tcW w:type="dxa" w:w="7580"/>
            <w:tcMar>
              <w:top w:type="dxa" w:w="80"/>
              <w:left w:type="dxa" w:w="120"/>
              <w:bottom w:type="dxa" w:w="80"/>
              <w:right w:type="dxa" w:w="120"/>
            </w:tcMar>
          </w:tcPr>
          <w:p>
            <w:r>
              <w:rPr>
                <w:b w:val="false"/>
                <w:bCs w:val="false"/>
                <w:sz w:val="20"/>
                <w:szCs w:val="20"/>
              </w:rPr>
              <w:t xml:space="preserve">Quantum circuit acts as a compact temporal feature extractor over a lag window, with knowledge-distillation regularization toward the classical solution</w:t>
            </w:r>
          </w:p>
        </w:tc>
      </w:tr>
    </w:tbl>
    <w:p>
      <w:pPr>
        <w:spacing w:after="200"/>
      </w:pPr>
    </w:p>
    <w:p>
      <w:pPr>
        <w:spacing w:after="160"/>
      </w:pPr>
      <w:r>
        <w:rPr>
          <w:b/>
          <w:bCs/>
        </w:rPr>
        <w:t xml:space="preserve">Core methodological contribution: </w:t>
      </w:r>
      <w:r>
        <w:t xml:space="preserve">symmetric hyperparameter optimization. Unlike most prior quantum ML (QML) benchmarking studies — which tune classical hyperparameters extensively but leave quantum-specific ones at defaults — this paper searches all twelve hyperparameters (five classical, six quantum-specific) with equal rigor across 13 structured experiments.</w:t>
      </w:r>
    </w:p>
    <w:p>
      <w:pPr>
        <w:spacing w:after="160"/>
      </w:pPr>
      <w:r>
        <w:rPr>
          <w:b/>
          <w:bCs/>
        </w:rPr>
        <w:t xml:space="preserve">Evaluation: </w:t>
      </w:r>
      <w:r>
        <w:t xml:space="preserve">Two data regimes —</w:t>
      </w:r>
    </w:p>
    <w:p>
      <w:pPr>
        <w:pStyle w:val="ListParagraph"/>
        <w:numPr>
          <w:ilvl w:val="0"/>
          <w:numId w:val="2"/>
        </w:numPr>
        <w:spacing w:after="80"/>
      </w:pPr>
      <w:r>
        <w:t xml:space="preserve">A Gaussian-Process (GP) synthetic dataset, built from real financial revenue data but generated (not observed) via a GP + HMM level-shift model.</w:t>
      </w:r>
    </w:p>
    <w:p>
      <w:pPr>
        <w:pStyle w:val="ListParagraph"/>
        <w:numPr>
          <w:ilvl w:val="0"/>
          <w:numId w:val="2"/>
        </w:numPr>
        <w:spacing w:after="80"/>
      </w:pPr>
      <w:r>
        <w:t xml:space="preserve">The NARMA-10 nonlinear benchmark (input-driven formulation).</w:t>
      </w:r>
    </w:p>
    <w:p>
      <w:pPr>
        <w:spacing w:after="100"/>
      </w:pPr>
    </w:p>
    <w:p>
      <w:pPr>
        <w:spacing w:after="160"/>
      </w:pPr>
      <w:r>
        <w:rPr>
          <w:b/>
          <w:bCs/>
        </w:rPr>
        <w:t xml:space="preserve">Statistical protocol: </w:t>
      </w:r>
      <w:r>
        <w:t xml:space="preserve">n=12 paired observations per comparison (3 independently-generated series × 4 seeds), paired t-tests with Holm–Bonferroni correction, plus Wilcoxon/Shapiro–Wilk robustness checks and a formal power analysis.</w:t>
      </w:r>
    </w:p>
    <w:p>
      <w:pPr>
        <w:spacing w:after="160"/>
      </w:pPr>
      <w:r>
        <w:rPr>
          <w:b/>
          <w:bCs/>
        </w:rPr>
        <w:t xml:space="preserve">Headline finding: </w:t>
      </w:r>
      <w:r>
        <w:t xml:space="preserve">No quantum architecture beats the best classical baseline at the tested sample size. QCRBM ties the classical CRBM (it can recover it exactly at α=0); QQRBM and QFeatureQRBM are significantly worse. This holds even in an iso-parameter (matched-budget) comparison across four parameter budgets, and even as training epochs are extended to rule out undertraining.</w:t>
      </w:r>
    </w:p>
    <w:p>
      <w:pPr>
        <w:pStyle w:val="Heading1"/>
        <w:spacing w:after="160" w:before="320"/>
      </w:pPr>
      <w:r>
        <w:t xml:space="preserve">2. Gap in the Base Paper</w:t>
      </w:r>
    </w:p>
    <w:p>
      <w:pPr>
        <w:spacing w:after="160"/>
      </w:pPr>
      <w:r>
        <w:t xml:space="preserve">Despite being framed around “real financial data,” the base paper never actually evaluates on observed market prices. Its “GP dataset” is a synthetic continuation — sampled from a Gaussian Process + Hidden Markov Model fitted to real revenue series, not the real series itself. Additionally, the entire study is run at a single, fixed data-volume regime (~280 time steps, ~230 usable after transient discard) — there is no investigation of whether the “no quantum advantage” conclusion is an artifact of small sample size, or would hold/change as more training data becomes available.</w:t>
      </w:r>
    </w:p>
    <w:p>
      <w:pPr>
        <w:pStyle w:val="Heading1"/>
        <w:spacing w:after="160" w:before="320"/>
      </w:pPr>
      <w:r>
        <w:t xml:space="preserve">3. Our Two Novelties</w:t>
      </w:r>
    </w:p>
    <w:p>
      <w:pPr>
        <w:pStyle w:val="Heading2"/>
        <w:spacing w:after="120" w:before="260"/>
      </w:pPr>
      <w:r>
        <w:t xml:space="preserve">Novelty 1 — Real Data Replacement</w:t>
      </w:r>
    </w:p>
    <w:p>
      <w:pPr>
        <w:spacing w:after="160"/>
      </w:pPr>
      <w:r>
        <w:t xml:space="preserve">Re-run the paper’s exact four architectures on genuine observed financial time series (equities, FX, commodities, or crypto pulled via yfinance/Stooq), replacing the synthetic GP dataset entirely. Everything else (architectures, training procedure, evaluation metrics, statistical protocol) is kept as close to identical as possible so that data source is the only manipulated variable.</w:t>
      </w:r>
    </w:p>
    <w:p>
      <w:pPr>
        <w:pStyle w:val="Heading2"/>
        <w:spacing w:after="120" w:before="260"/>
      </w:pPr>
      <w:r>
        <w:t xml:space="preserve">Novelty 2 — Scaling Study</w:t>
      </w:r>
    </w:p>
    <w:p>
      <w:pPr>
        <w:spacing w:after="160"/>
      </w:pPr>
      <w:r>
        <w:t xml:space="preserve">Repeat the full quantum-vs-classical comparison across a range of training-set sizes (e.g., 250 → 4000 observations) instead of one fixed regime, to test whether the “no quantum advantage” result:</w:t>
      </w:r>
    </w:p>
    <w:p>
      <w:pPr>
        <w:pStyle w:val="ListParagraph"/>
        <w:numPr>
          <w:ilvl w:val="0"/>
          <w:numId w:val="2"/>
        </w:numPr>
        <w:spacing w:after="80"/>
      </w:pPr>
      <w:r>
        <w:t xml:space="preserve">Holds — extends and validates their negative finding to real markets at scale, or</w:t>
      </w:r>
    </w:p>
    <w:p>
      <w:pPr>
        <w:pStyle w:val="ListParagraph"/>
        <w:numPr>
          <w:ilvl w:val="0"/>
          <w:numId w:val="2"/>
        </w:numPr>
        <w:spacing w:after="80"/>
      </w:pPr>
      <w:r>
        <w:t xml:space="preserve">Narrows or reverses — suggesting quantum architectures need more data to show benefit (a genuinely novel positive finding)</w:t>
      </w:r>
    </w:p>
    <w:p>
      <w:pPr>
        <w:spacing w:after="100"/>
      </w:pPr>
    </w:p>
    <w:p>
      <w:pPr>
        <w:spacing w:after="160"/>
      </w:pPr>
      <w:r>
        <w:t xml:space="preserve">Either outcome is a legitimate, publishable contribution.</w:t>
      </w:r>
    </w:p>
    <w:p>
      <w:pPr>
        <w:pStyle w:val="Heading1"/>
        <w:spacing w:after="160" w:before="320"/>
      </w:pPr>
      <w:r>
        <w:t xml:space="preserve">4. Two Major Drawbacks and How We Address Them</w:t>
      </w:r>
    </w:p>
    <w:p>
      <w:pPr>
        <w:pStyle w:val="Heading2"/>
        <w:spacing w:after="120" w:before="260"/>
      </w:pPr>
      <w:r>
        <w:t xml:space="preserve">Drawback 1: Real market data breaks the independence assumption behind their statistics</w:t>
      </w:r>
    </w:p>
    <w:p>
      <w:pPr>
        <w:spacing w:after="160"/>
      </w:pPr>
      <w:r>
        <w:t xml:space="preserve">The base paper achieves n=12 independent paired observations by sampling fresh GP realizations per seed. Real markets give only one historical path per asset — slicing overlapping windows from a single price history would produce heavily autocorrelated “series,” invalidating the paired t-test / Holm-correction machinery.</w:t>
      </w:r>
    </w:p>
    <w:p>
      <w:pPr>
        <w:spacing w:after="160"/>
      </w:pPr>
      <w:r>
        <w:rPr>
          <w:b/>
          <w:bCs/>
        </w:rPr>
        <w:t xml:space="preserve">Fix: </w:t>
      </w:r>
      <w:r>
        <w:t xml:space="preserve">Replace “independently generated series” with independent assets (6–8 diversified tickers: equities from different sectors, an FX pair, a commodity, an index, crypto) as the unit of replication, combined with 4 seeds each (weight init / batch order only — not data resampling) → n = (assets × seeds), structurally analogous to their n=12. We report an asset-correlation table upfront and explicitly frame “independence” as approximate, a standard and defensible practice in empirical finance ML, rather than silently violating the assumption.</w:t>
      </w:r>
    </w:p>
    <w:p>
      <w:pPr>
        <w:pStyle w:val="Heading2"/>
        <w:spacing w:after="120" w:before="260"/>
      </w:pPr>
      <w:r>
        <w:t xml:space="preserve">Drawback 2: The scaling axis is confounded with market regime/volatility, not just data volume</w:t>
      </w:r>
    </w:p>
    <w:p>
      <w:pPr>
        <w:spacing w:after="160"/>
      </w:pPr>
      <w:r>
        <w:t xml:space="preserve">In their synthetic setup, more data only ever means “more of a stationary-ish process.” In real markets, a longer training window almost always spans different volatility regimes or structural breaks (e.g., 2008, 2020) — so an apparent “quantum advantage emerging with scale” could really be a regime effect, not a genuine capacity effect.</w:t>
      </w:r>
    </w:p>
    <w:p>
      <w:pPr>
        <w:spacing w:after="160"/>
      </w:pPr>
      <w:r>
        <w:rPr>
          <w:b/>
          <w:bCs/>
        </w:rPr>
        <w:t xml:space="preserve">Fix:</w:t>
      </w:r>
    </w:p>
    <w:p>
      <w:pPr>
        <w:pStyle w:val="ListParagraph"/>
        <w:numPr>
          <w:ilvl w:val="0"/>
          <w:numId w:val="2"/>
        </w:numPr>
        <w:spacing w:after="80"/>
      </w:pPr>
      <w:r>
        <w:t xml:space="preserve">Fix the evaluation window per asset; only grow the training prefix length across the scaling grid.</w:t>
      </w:r>
    </w:p>
    <w:p>
      <w:pPr>
        <w:pStyle w:val="ListParagraph"/>
        <w:numPr>
          <w:ilvl w:val="0"/>
          <w:numId w:val="2"/>
        </w:numPr>
        <w:spacing w:after="80"/>
      </w:pPr>
      <w:r>
        <w:t xml:space="preserve">Report a volatility/regime descriptor (realized volatility, structural-break statistic) alongside every training-size condition, making any confound visible rather than hidden.</w:t>
      </w:r>
    </w:p>
    <w:p>
      <w:pPr>
        <w:pStyle w:val="ListParagraph"/>
        <w:numPr>
          <w:ilvl w:val="0"/>
          <w:numId w:val="2"/>
        </w:numPr>
        <w:spacing w:after="80"/>
      </w:pPr>
      <w:r>
        <w:t xml:space="preserve">Add a volatility-matched control: fixed-length windows drawn from different historical periods with similar volatility to isolate “data volume” from “regime exposure.”</w:t>
      </w:r>
    </w:p>
    <w:p>
      <w:pPr>
        <w:pStyle w:val="ListParagraph"/>
        <w:numPr>
          <w:ilvl w:val="0"/>
          <w:numId w:val="2"/>
        </w:numPr>
        <w:spacing w:after="80"/>
      </w:pPr>
      <w:r>
        <w:t xml:space="preserve">Run the study on both raw and stationarity-transformed (log-return) data as a diagnostic.</w:t>
      </w:r>
    </w:p>
    <w:p>
      <w:pPr>
        <w:pStyle w:val="ListParagraph"/>
        <w:numPr>
          <w:ilvl w:val="0"/>
          <w:numId w:val="2"/>
        </w:numPr>
        <w:spacing w:after="80"/>
      </w:pPr>
      <w:r>
        <w:t xml:space="preserve">Reuse their window-information-ceiling diagnostic (Section 5.5 of the base paper) to check whether any observed “tie” between models is a real tie or just all models hitting the same noise floor — a known risk given financial data’s low signal-to-noise ratio.</w:t>
      </w:r>
    </w:p>
    <w:p>
      <w:pPr>
        <w:spacing w:after="100"/>
      </w:pPr>
    </w:p>
    <w:p>
      <w:pPr>
        <w:pStyle w:val="Heading1"/>
        <w:spacing w:after="160" w:before="320"/>
      </w:pPr>
      <w:r>
        <w:t xml:space="preserve">5. Two-Week Roadmap</w:t>
      </w:r>
    </w:p>
    <w:p>
      <w:pPr>
        <w:pStyle w:val="Heading2"/>
        <w:spacing w:after="120" w:before="260"/>
      </w:pPr>
      <w:r>
        <w:t xml:space="preserve">Week 1 — Build &amp; Run</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380"/>
      </w:tblGrid>
      <w:tr>
        <w:trPr>
          <w:tblHeader/>
        </w:trPr>
        <w:tc>
          <w:tcPr>
            <w:tcW w:type="dxa" w:w="900"/>
            <w:shd w:fill="1F4E79" w:color="auto" w:val="clear"/>
            <w:tcMar>
              <w:top w:type="dxa" w:w="80"/>
              <w:left w:type="dxa" w:w="120"/>
              <w:bottom w:type="dxa" w:w="80"/>
              <w:right w:type="dxa" w:w="120"/>
            </w:tcMar>
          </w:tcPr>
          <w:p>
            <w:r>
              <w:rPr>
                <w:b/>
                <w:bCs/>
                <w:color w:val="FFFFFF"/>
                <w:sz w:val="20"/>
                <w:szCs w:val="20"/>
              </w:rPr>
              <w:t xml:space="preserve">Day</w:t>
            </w:r>
          </w:p>
        </w:tc>
        <w:tc>
          <w:tcPr>
            <w:tcW w:type="dxa" w:w="5300"/>
            <w:shd w:fill="1F4E79" w:color="auto" w:val="clear"/>
            <w:tcMar>
              <w:top w:type="dxa" w:w="80"/>
              <w:left w:type="dxa" w:w="120"/>
              <w:bottom w:type="dxa" w:w="80"/>
              <w:right w:type="dxa" w:w="120"/>
            </w:tcMar>
          </w:tcPr>
          <w:p>
            <w:r>
              <w:rPr>
                <w:b/>
                <w:bCs/>
                <w:color w:val="FFFFFF"/>
                <w:sz w:val="20"/>
                <w:szCs w:val="20"/>
              </w:rPr>
              <w:t xml:space="preserve">Task</w:t>
            </w:r>
          </w:p>
        </w:tc>
        <w:tc>
          <w:tcPr>
            <w:tcW w:type="dxa" w:w="3380"/>
            <w:shd w:fill="1F4E79" w:color="auto" w:val="clear"/>
            <w:tcMar>
              <w:top w:type="dxa" w:w="80"/>
              <w:left w:type="dxa" w:w="120"/>
              <w:bottom w:type="dxa" w:w="80"/>
              <w:right w:type="dxa" w:w="120"/>
            </w:tcMar>
          </w:tcPr>
          <w:p>
            <w:r>
              <w:rPr>
                <w:b/>
                <w:bCs/>
                <w:color w:val="FFFFFF"/>
                <w:sz w:val="20"/>
                <w:szCs w:val="20"/>
              </w:rPr>
              <w:t xml:space="preserve">Deliverable</w:t>
            </w:r>
          </w:p>
        </w:tc>
      </w:tr>
      <w:tr>
        <w:tc>
          <w:tcPr>
            <w:tcW w:type="dxa" w:w="900"/>
            <w:tcMar>
              <w:top w:type="dxa" w:w="80"/>
              <w:left w:type="dxa" w:w="120"/>
              <w:bottom w:type="dxa" w:w="80"/>
              <w:right w:type="dxa" w:w="120"/>
            </w:tcMar>
          </w:tcPr>
          <w:p>
            <w:r>
              <w:rPr>
                <w:b w:val="false"/>
                <w:bCs w:val="false"/>
                <w:sz w:val="20"/>
                <w:szCs w:val="20"/>
              </w:rPr>
              <w:t xml:space="preserve">1–2</w:t>
            </w:r>
          </w:p>
        </w:tc>
        <w:tc>
          <w:tcPr>
            <w:tcW w:type="dxa" w:w="5300"/>
            <w:tcMar>
              <w:top w:type="dxa" w:w="80"/>
              <w:left w:type="dxa" w:w="120"/>
              <w:bottom w:type="dxa" w:w="80"/>
              <w:right w:type="dxa" w:w="120"/>
            </w:tcMar>
          </w:tcPr>
          <w:p>
            <w:r>
              <w:rPr>
                <w:b w:val="false"/>
                <w:bCs w:val="false"/>
                <w:sz w:val="20"/>
                <w:szCs w:val="20"/>
              </w:rPr>
              <w:t xml:space="preserve">Data pipeline: pick 6–8 diversified tickers, pull history, compute returns, ADF stationarity checks, asset-correlation table, fixed-eval-window + growing-training-prefix scheme</w:t>
            </w:r>
          </w:p>
        </w:tc>
        <w:tc>
          <w:tcPr>
            <w:tcW w:type="dxa" w:w="3380"/>
            <w:tcMar>
              <w:top w:type="dxa" w:w="80"/>
              <w:left w:type="dxa" w:w="120"/>
              <w:bottom w:type="dxa" w:w="80"/>
              <w:right w:type="dxa" w:w="120"/>
            </w:tcMar>
          </w:tcPr>
          <w:p>
            <w:r>
              <w:rPr>
                <w:b w:val="false"/>
                <w:bCs w:val="false"/>
                <w:sz w:val="20"/>
                <w:szCs w:val="20"/>
              </w:rPr>
              <w:t xml:space="preserve">data.py, correlation &amp; regime tables</w:t>
            </w:r>
          </w:p>
        </w:tc>
      </w:tr>
      <w:tr>
        <w:tc>
          <w:tcPr>
            <w:tcW w:type="dxa" w:w="900"/>
            <w:tcMar>
              <w:top w:type="dxa" w:w="80"/>
              <w:left w:type="dxa" w:w="120"/>
              <w:bottom w:type="dxa" w:w="80"/>
              <w:right w:type="dxa" w:w="120"/>
            </w:tcMar>
          </w:tcPr>
          <w:p>
            <w:r>
              <w:rPr>
                <w:b w:val="false"/>
                <w:bCs w:val="false"/>
                <w:sz w:val="20"/>
                <w:szCs w:val="20"/>
              </w:rPr>
              <w:t xml:space="preserve">3–5</w:t>
            </w:r>
          </w:p>
        </w:tc>
        <w:tc>
          <w:tcPr>
            <w:tcW w:type="dxa" w:w="5300"/>
            <w:tcMar>
              <w:top w:type="dxa" w:w="80"/>
              <w:left w:type="dxa" w:w="120"/>
              <w:bottom w:type="dxa" w:w="80"/>
              <w:right w:type="dxa" w:w="120"/>
            </w:tcMar>
          </w:tcPr>
          <w:p>
            <w:r>
              <w:rPr>
                <w:b w:val="false"/>
                <w:bCs w:val="false"/>
                <w:sz w:val="20"/>
                <w:szCs w:val="20"/>
              </w:rPr>
              <w:t xml:space="preserve">Reimplement CRBM → QCRBM → QFeatureQRBM → QQRBM (priority order) following the paper’s exact equations; sanity-check against synthetic toy data</w:t>
            </w:r>
          </w:p>
        </w:tc>
        <w:tc>
          <w:tcPr>
            <w:tcW w:type="dxa" w:w="3380"/>
            <w:tcMar>
              <w:top w:type="dxa" w:w="80"/>
              <w:left w:type="dxa" w:w="120"/>
              <w:bottom w:type="dxa" w:w="80"/>
              <w:right w:type="dxa" w:w="120"/>
            </w:tcMar>
          </w:tcPr>
          <w:p>
            <w:r>
              <w:rPr>
                <w:b w:val="false"/>
                <w:bCs w:val="false"/>
                <w:sz w:val="20"/>
                <w:szCs w:val="20"/>
              </w:rPr>
              <w:t xml:space="preserve">Four working model implementations</w:t>
            </w:r>
          </w:p>
        </w:tc>
      </w:tr>
      <w:tr>
        <w:tc>
          <w:tcPr>
            <w:tcW w:type="dxa" w:w="900"/>
            <w:tcMar>
              <w:top w:type="dxa" w:w="80"/>
              <w:left w:type="dxa" w:w="120"/>
              <w:bottom w:type="dxa" w:w="80"/>
              <w:right w:type="dxa" w:w="120"/>
            </w:tcMar>
          </w:tcPr>
          <w:p>
            <w:r>
              <w:rPr>
                <w:b w:val="false"/>
                <w:bCs w:val="false"/>
                <w:sz w:val="20"/>
                <w:szCs w:val="20"/>
              </w:rPr>
              <w:t xml:space="preserve">6–7</w:t>
            </w:r>
          </w:p>
        </w:tc>
        <w:tc>
          <w:tcPr>
            <w:tcW w:type="dxa" w:w="5300"/>
            <w:tcMar>
              <w:top w:type="dxa" w:w="80"/>
              <w:left w:type="dxa" w:w="120"/>
              <w:bottom w:type="dxa" w:w="80"/>
              <w:right w:type="dxa" w:w="120"/>
            </w:tcMar>
          </w:tcPr>
          <w:p>
            <w:r>
              <w:rPr>
                <w:b w:val="false"/>
                <w:bCs w:val="false"/>
                <w:sz w:val="20"/>
                <w:szCs w:val="20"/>
              </w:rPr>
              <w:t xml:space="preserve">Scoped-down hyperparameter search (top 3–4 params per model, one representative asset/size, reused across the grid)</w:t>
            </w:r>
          </w:p>
        </w:tc>
        <w:tc>
          <w:tcPr>
            <w:tcW w:type="dxa" w:w="3380"/>
            <w:tcMar>
              <w:top w:type="dxa" w:w="80"/>
              <w:left w:type="dxa" w:w="120"/>
              <w:bottom w:type="dxa" w:w="80"/>
              <w:right w:type="dxa" w:w="120"/>
            </w:tcMar>
          </w:tcPr>
          <w:p>
            <w:r>
              <w:rPr>
                <w:b w:val="false"/>
                <w:bCs w:val="false"/>
                <w:sz w:val="20"/>
                <w:szCs w:val="20"/>
              </w:rPr>
              <w:t xml:space="preserve">Locked hyperparameter configs</w:t>
            </w:r>
          </w:p>
        </w:tc>
      </w:tr>
    </w:tbl>
    <w:p>
      <w:pPr>
        <w:spacing w:after="220"/>
      </w:pPr>
    </w:p>
    <w:p>
      <w:pPr>
        <w:pStyle w:val="Heading2"/>
        <w:spacing w:after="120" w:before="260"/>
      </w:pPr>
      <w:r>
        <w:t xml:space="preserve">Week 2 — Experiments, Statistics, Writing</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380"/>
      </w:tblGrid>
      <w:tr>
        <w:trPr>
          <w:tblHeader/>
        </w:trPr>
        <w:tc>
          <w:tcPr>
            <w:tcW w:type="dxa" w:w="900"/>
            <w:shd w:fill="1F4E79" w:color="auto" w:val="clear"/>
            <w:tcMar>
              <w:top w:type="dxa" w:w="80"/>
              <w:left w:type="dxa" w:w="120"/>
              <w:bottom w:type="dxa" w:w="80"/>
              <w:right w:type="dxa" w:w="120"/>
            </w:tcMar>
          </w:tcPr>
          <w:p>
            <w:r>
              <w:rPr>
                <w:b/>
                <w:bCs/>
                <w:color w:val="FFFFFF"/>
                <w:sz w:val="20"/>
                <w:szCs w:val="20"/>
              </w:rPr>
              <w:t xml:space="preserve">Day</w:t>
            </w:r>
          </w:p>
        </w:tc>
        <w:tc>
          <w:tcPr>
            <w:tcW w:type="dxa" w:w="5300"/>
            <w:shd w:fill="1F4E79" w:color="auto" w:val="clear"/>
            <w:tcMar>
              <w:top w:type="dxa" w:w="80"/>
              <w:left w:type="dxa" w:w="120"/>
              <w:bottom w:type="dxa" w:w="80"/>
              <w:right w:type="dxa" w:w="120"/>
            </w:tcMar>
          </w:tcPr>
          <w:p>
            <w:r>
              <w:rPr>
                <w:b/>
                <w:bCs/>
                <w:color w:val="FFFFFF"/>
                <w:sz w:val="20"/>
                <w:szCs w:val="20"/>
              </w:rPr>
              <w:t xml:space="preserve">Task</w:t>
            </w:r>
          </w:p>
        </w:tc>
        <w:tc>
          <w:tcPr>
            <w:tcW w:type="dxa" w:w="3380"/>
            <w:shd w:fill="1F4E79" w:color="auto" w:val="clear"/>
            <w:tcMar>
              <w:top w:type="dxa" w:w="80"/>
              <w:left w:type="dxa" w:w="120"/>
              <w:bottom w:type="dxa" w:w="80"/>
              <w:right w:type="dxa" w:w="120"/>
            </w:tcMar>
          </w:tcPr>
          <w:p>
            <w:r>
              <w:rPr>
                <w:b/>
                <w:bCs/>
                <w:color w:val="FFFFFF"/>
                <w:sz w:val="20"/>
                <w:szCs w:val="20"/>
              </w:rPr>
              <w:t xml:space="preserve">Deliverable</w:t>
            </w:r>
          </w:p>
        </w:tc>
      </w:tr>
      <w:tr>
        <w:tc>
          <w:tcPr>
            <w:tcW w:type="dxa" w:w="900"/>
            <w:tcMar>
              <w:top w:type="dxa" w:w="80"/>
              <w:left w:type="dxa" w:w="120"/>
              <w:bottom w:type="dxa" w:w="80"/>
              <w:right w:type="dxa" w:w="120"/>
            </w:tcMar>
          </w:tcPr>
          <w:p>
            <w:r>
              <w:rPr>
                <w:b w:val="false"/>
                <w:bCs w:val="false"/>
                <w:sz w:val="20"/>
                <w:szCs w:val="20"/>
              </w:rPr>
              <w:t xml:space="preserve">8–9</w:t>
            </w:r>
          </w:p>
        </w:tc>
        <w:tc>
          <w:tcPr>
            <w:tcW w:type="dxa" w:w="5300"/>
            <w:tcMar>
              <w:top w:type="dxa" w:w="80"/>
              <w:left w:type="dxa" w:w="120"/>
              <w:bottom w:type="dxa" w:w="80"/>
              <w:right w:type="dxa" w:w="120"/>
            </w:tcMar>
          </w:tcPr>
          <w:p>
            <w:r>
              <w:rPr>
                <w:b w:val="false"/>
                <w:bCs w:val="false"/>
                <w:sz w:val="20"/>
                <w:szCs w:val="20"/>
              </w:rPr>
              <w:t xml:space="preserve">Run full scaling grid: asset × size × seed × model; run volatility-matched control</w:t>
            </w:r>
          </w:p>
        </w:tc>
        <w:tc>
          <w:tcPr>
            <w:tcW w:type="dxa" w:w="3380"/>
            <w:tcMar>
              <w:top w:type="dxa" w:w="80"/>
              <w:left w:type="dxa" w:w="120"/>
              <w:bottom w:type="dxa" w:w="80"/>
              <w:right w:type="dxa" w:w="120"/>
            </w:tcMar>
          </w:tcPr>
          <w:p>
            <w:r>
              <w:rPr>
                <w:b w:val="false"/>
                <w:bCs w:val="false"/>
                <w:sz w:val="20"/>
                <w:szCs w:val="20"/>
              </w:rPr>
              <w:t xml:space="preserve">Results CSV (all RMSE values)</w:t>
            </w:r>
          </w:p>
        </w:tc>
      </w:tr>
      <w:tr>
        <w:tc>
          <w:tcPr>
            <w:tcW w:type="dxa" w:w="900"/>
            <w:tcMar>
              <w:top w:type="dxa" w:w="80"/>
              <w:left w:type="dxa" w:w="120"/>
              <w:bottom w:type="dxa" w:w="80"/>
              <w:right w:type="dxa" w:w="120"/>
            </w:tcMar>
          </w:tcPr>
          <w:p>
            <w:r>
              <w:rPr>
                <w:b w:val="false"/>
                <w:bCs w:val="false"/>
                <w:sz w:val="20"/>
                <w:szCs w:val="20"/>
              </w:rPr>
              <w:t xml:space="preserve">10</w:t>
            </w:r>
          </w:p>
        </w:tc>
        <w:tc>
          <w:tcPr>
            <w:tcW w:type="dxa" w:w="5300"/>
            <w:tcMar>
              <w:top w:type="dxa" w:w="80"/>
              <w:left w:type="dxa" w:w="120"/>
              <w:bottom w:type="dxa" w:w="80"/>
              <w:right w:type="dxa" w:w="120"/>
            </w:tcMar>
          </w:tcPr>
          <w:p>
            <w:r>
              <w:rPr>
                <w:b w:val="false"/>
                <w:bCs w:val="false"/>
                <w:sz w:val="20"/>
                <w:szCs w:val="20"/>
              </w:rPr>
              <w:t xml:space="preserve">Paired t-tests (Holm-corrected) per training size, power analysis, window-information-ceiling diagnostic</w:t>
            </w:r>
          </w:p>
        </w:tc>
        <w:tc>
          <w:tcPr>
            <w:tcW w:type="dxa" w:w="3380"/>
            <w:tcMar>
              <w:top w:type="dxa" w:w="80"/>
              <w:left w:type="dxa" w:w="120"/>
              <w:bottom w:type="dxa" w:w="80"/>
              <w:right w:type="dxa" w:w="120"/>
            </w:tcMar>
          </w:tcPr>
          <w:p>
            <w:r>
              <w:rPr>
                <w:b w:val="false"/>
                <w:bCs w:val="false"/>
                <w:sz w:val="20"/>
                <w:szCs w:val="20"/>
              </w:rPr>
              <w:t xml:space="preserve">Final results tables</w:t>
            </w:r>
          </w:p>
        </w:tc>
      </w:tr>
      <w:tr>
        <w:tc>
          <w:tcPr>
            <w:tcW w:type="dxa" w:w="900"/>
            <w:tcMar>
              <w:top w:type="dxa" w:w="80"/>
              <w:left w:type="dxa" w:w="120"/>
              <w:bottom w:type="dxa" w:w="80"/>
              <w:right w:type="dxa" w:w="120"/>
            </w:tcMar>
          </w:tcPr>
          <w:p>
            <w:r>
              <w:rPr>
                <w:b w:val="false"/>
                <w:bCs w:val="false"/>
                <w:sz w:val="20"/>
                <w:szCs w:val="20"/>
              </w:rPr>
              <w:t xml:space="preserve">11–12</w:t>
            </w:r>
          </w:p>
        </w:tc>
        <w:tc>
          <w:tcPr>
            <w:tcW w:type="dxa" w:w="5300"/>
            <w:tcMar>
              <w:top w:type="dxa" w:w="80"/>
              <w:left w:type="dxa" w:w="120"/>
              <w:bottom w:type="dxa" w:w="80"/>
              <w:right w:type="dxa" w:w="120"/>
            </w:tcMar>
          </w:tcPr>
          <w:p>
            <w:r>
              <w:rPr>
                <w:b w:val="false"/>
                <w:bCs w:val="false"/>
                <w:sz w:val="20"/>
                <w:szCs w:val="20"/>
              </w:rPr>
              <w:t xml:space="preserve">Write paper: Intro, Related Work, Methods, Results, Discussion, Conclusion (mirroring base paper structure)</w:t>
            </w:r>
          </w:p>
        </w:tc>
        <w:tc>
          <w:tcPr>
            <w:tcW w:type="dxa" w:w="3380"/>
            <w:tcMar>
              <w:top w:type="dxa" w:w="80"/>
              <w:left w:type="dxa" w:w="120"/>
              <w:bottom w:type="dxa" w:w="80"/>
              <w:right w:type="dxa" w:w="120"/>
            </w:tcMar>
          </w:tcPr>
          <w:p>
            <w:r>
              <w:rPr>
                <w:b w:val="false"/>
                <w:bCs w:val="false"/>
                <w:sz w:val="20"/>
                <w:szCs w:val="20"/>
              </w:rPr>
              <w:t xml:space="preserve">Full draft</w:t>
            </w:r>
          </w:p>
        </w:tc>
      </w:tr>
      <w:tr>
        <w:tc>
          <w:tcPr>
            <w:tcW w:type="dxa" w:w="900"/>
            <w:tcMar>
              <w:top w:type="dxa" w:w="80"/>
              <w:left w:type="dxa" w:w="120"/>
              <w:bottom w:type="dxa" w:w="80"/>
              <w:right w:type="dxa" w:w="120"/>
            </w:tcMar>
          </w:tcPr>
          <w:p>
            <w:r>
              <w:rPr>
                <w:b w:val="false"/>
                <w:bCs w:val="false"/>
                <w:sz w:val="20"/>
                <w:szCs w:val="20"/>
              </w:rPr>
              <w:t xml:space="preserve">13</w:t>
            </w:r>
          </w:p>
        </w:tc>
        <w:tc>
          <w:tcPr>
            <w:tcW w:type="dxa" w:w="5300"/>
            <w:tcMar>
              <w:top w:type="dxa" w:w="80"/>
              <w:left w:type="dxa" w:w="120"/>
              <w:bottom w:type="dxa" w:w="80"/>
              <w:right w:type="dxa" w:w="120"/>
            </w:tcMar>
          </w:tcPr>
          <w:p>
            <w:r>
              <w:rPr>
                <w:b w:val="false"/>
                <w:bCs w:val="false"/>
                <w:sz w:val="20"/>
                <w:szCs w:val="20"/>
              </w:rPr>
              <w:t xml:space="preserve">Figures (scaling curves, volatility diagnostics, correlation heatmap) + consistency pass</w:t>
            </w:r>
          </w:p>
        </w:tc>
        <w:tc>
          <w:tcPr>
            <w:tcW w:type="dxa" w:w="3380"/>
            <w:tcMar>
              <w:top w:type="dxa" w:w="80"/>
              <w:left w:type="dxa" w:w="120"/>
              <w:bottom w:type="dxa" w:w="80"/>
              <w:right w:type="dxa" w:w="120"/>
            </w:tcMar>
          </w:tcPr>
          <w:p>
            <w:r>
              <w:rPr>
                <w:b w:val="false"/>
                <w:bCs w:val="false"/>
                <w:sz w:val="20"/>
                <w:szCs w:val="20"/>
              </w:rPr>
              <w:t xml:space="preserve">Polished draft</w:t>
            </w:r>
          </w:p>
        </w:tc>
      </w:tr>
      <w:tr>
        <w:tc>
          <w:tcPr>
            <w:tcW w:type="dxa" w:w="900"/>
            <w:tcMar>
              <w:top w:type="dxa" w:w="80"/>
              <w:left w:type="dxa" w:w="120"/>
              <w:bottom w:type="dxa" w:w="80"/>
              <w:right w:type="dxa" w:w="120"/>
            </w:tcMar>
          </w:tcPr>
          <w:p>
            <w:r>
              <w:rPr>
                <w:b w:val="false"/>
                <w:bCs w:val="false"/>
                <w:sz w:val="20"/>
                <w:szCs w:val="20"/>
              </w:rPr>
              <w:t xml:space="preserve">14</w:t>
            </w:r>
          </w:p>
        </w:tc>
        <w:tc>
          <w:tcPr>
            <w:tcW w:type="dxa" w:w="5300"/>
            <w:tcMar>
              <w:top w:type="dxa" w:w="80"/>
              <w:left w:type="dxa" w:w="120"/>
              <w:bottom w:type="dxa" w:w="80"/>
              <w:right w:type="dxa" w:w="120"/>
            </w:tcMar>
          </w:tcPr>
          <w:p>
            <w:r>
              <w:rPr>
                <w:b w:val="false"/>
                <w:bCs w:val="false"/>
                <w:sz w:val="20"/>
                <w:szCs w:val="20"/>
              </w:rPr>
              <w:t xml:space="preserve">Format for arXiv, write abstract, proofread, submit</w:t>
            </w:r>
          </w:p>
        </w:tc>
        <w:tc>
          <w:tcPr>
            <w:tcW w:type="dxa" w:w="3380"/>
            <w:tcMar>
              <w:top w:type="dxa" w:w="80"/>
              <w:left w:type="dxa" w:w="120"/>
              <w:bottom w:type="dxa" w:w="80"/>
              <w:right w:type="dxa" w:w="120"/>
            </w:tcMar>
          </w:tcPr>
          <w:p>
            <w:r>
              <w:rPr>
                <w:b w:val="false"/>
                <w:bCs w:val="false"/>
                <w:sz w:val="20"/>
                <w:szCs w:val="20"/>
              </w:rPr>
              <w:t xml:space="preserve">Submitted paper</w:t>
            </w:r>
          </w:p>
        </w:tc>
      </w:tr>
    </w:tbl>
    <w:p>
      <w:pPr>
        <w:spacing w:after="220"/>
      </w:pPr>
    </w:p>
    <w:p>
      <w:pPr>
        <w:spacing w:after="160"/>
      </w:pPr>
      <w:r>
        <w:rPr>
          <w:b/>
          <w:bCs/>
        </w:rPr>
        <w:t xml:space="preserve">Contingency: </w:t>
      </w:r>
      <w:r>
        <w:t xml:space="preserve">If compute time runs long, protect the CRBM vs. QCRBM comparison across the full scaling grid (this is the headline result either way) and report QQRBM / QFeatureQRBM at a single fixed training size as structural references — the same escape hatch the base paper itself uses for QQRBM.</w:t>
      </w:r>
    </w:p>
    <w:p>
      <w:pPr>
        <w:pStyle w:val="Heading1"/>
        <w:spacing w:after="160" w:before="320"/>
      </w:pPr>
      <w:r>
        <w:t xml:space="preserve">6. Publishable Outcomes</w:t>
      </w:r>
    </w:p>
    <w:p>
      <w:pPr>
        <w:pStyle w:val="ListParagraph"/>
        <w:numPr>
          <w:ilvl w:val="0"/>
          <w:numId w:val="2"/>
        </w:numPr>
        <w:spacing w:after="80"/>
      </w:pPr>
      <w:r>
        <w:t xml:space="preserve">If the classical-advantage gap holds on real data at scale → validates and extends the base paper’s negative result to genuine markets — an honest, useful contribution to QML benchmarking rigor.</w:t>
      </w:r>
    </w:p>
    <w:p>
      <w:pPr>
        <w:pStyle w:val="ListParagraph"/>
        <w:numPr>
          <w:ilvl w:val="0"/>
          <w:numId w:val="2"/>
        </w:numPr>
        <w:spacing w:after="80"/>
      </w:pPr>
      <w:r>
        <w:t xml:space="preserve">If the gap narrows or reverses with more data → a novel positive result suggesting quantum architectures are data-hungry rather than fundamentally non-competitive, directly informing future QML-for-finance work.</w:t>
      </w:r>
    </w:p>
    <w:p>
      <w:pPr>
        <w:spacing w:after="100"/>
      </w:pPr>
    </w:p>
    <w:p>
      <w:pPr>
        <w:spacing w:after="160"/>
      </w:pPr>
      <w:r>
        <w:t xml:space="preserve">Both outcomes are reportable as long as the confound-mitigation steps above are followed and disclosed transparently.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2026-08-03T09:14:36.330Z</dcterms:created>
  <dcterms:modified xsi:type="dcterms:W3CDTF">2026-08-03T09:14:36.350Z</dcterms:modified>
</cp:coreProperties>
</file>

<file path=docProps/custom.xml><?xml version="1.0" encoding="utf-8"?>
<Properties xmlns="http://schemas.openxmlformats.org/officeDocument/2006/custom-properties" xmlns:vt="http://schemas.openxmlformats.org/officeDocument/2006/docPropsVTypes"/>
</file>