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rPr>
          <w:trHeight w:val="90" w:hRule="exact"/>
        </w:trPr>
        <w:tc>
          <w:tcPr>
            <w:tcW w:type="dxa" w:w="10092"/>
            <w:shd w:fill="0A4F44" w:val="clear"/>
            <w:tcMar>
              <w:top w:w="0" w:type="dxa"/>
              <w:left w:w="0" w:type="dxa"/>
              <w:bottom w:w="0" w:type="dxa"/>
              <w:right w:w="0" w:type="dxa"/>
            </w:tcMar>
          </w:tcPr>
          <w:p>
            <w:pPr>
              <w:spacing w:after="0" w:before="0"/>
            </w:pPr>
            <w:r>
              <w:rPr>
                <w:rFonts w:ascii="Calibri" w:hAnsi="Calibri" w:eastAsia="Calibri"/>
                <w:b w:val="0"/>
                <w:color w:val="0A4F44"/>
                <w:sz w:val="8"/>
              </w:rPr>
              <w:t xml:space="preserve"> </w:t>
            </w:r>
          </w:p>
        </w:tc>
      </w:tr>
    </w:tbl>
    <w:p>
      <w:pPr>
        <w:spacing w:after="120" w:before="16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8050"/>
            <w:tcMar>
              <w:top w:w="0" w:type="dxa"/>
              <w:left w:w="0" w:type="dxa"/>
              <w:bottom w:w="0" w:type="dxa"/>
              <w:right w:w="80" w:type="dxa"/>
            </w:tcMar>
          </w:tcPr>
          <w:p>
            <w:pPr>
              <w:spacing w:after="80" w:before="0" w:line="269" w:lineRule="auto"/>
            </w:pPr>
            <w:r>
              <w:rPr>
                <w:rFonts w:ascii="Calibri" w:hAnsi="Calibri" w:eastAsia="Calibri"/>
                <w:b/>
                <w:color w:val="0E6B5C"/>
                <w:sz w:val="15"/>
              </w:rPr>
              <w:t>GLOBAL HR · PEOPLE OPERATIONS · MULTI-COUNTRY COMPLIANCE</w:t>
            </w:r>
          </w:p>
          <w:p>
            <w:pPr>
              <w:spacing w:after="40" w:before="0" w:line="269" w:lineRule="auto"/>
            </w:pPr>
            <w:r>
              <w:rPr>
                <w:rFonts w:ascii="Georgia" w:hAnsi="Georgia" w:eastAsia="Georgia"/>
                <w:b/>
                <w:color w:val="1A2332"/>
                <w:sz w:val="44"/>
              </w:rPr>
              <w:t>Marta Tomaszewska</w:t>
            </w:r>
          </w:p>
          <w:p>
            <w:pPr>
              <w:spacing w:after="160" w:before="0" w:line="269" w:lineRule="auto"/>
            </w:pPr>
            <w:r>
              <w:rPr>
                <w:rFonts w:ascii="Calibri" w:hAnsi="Calibri" w:eastAsia="Calibri"/>
                <w:b/>
                <w:color w:val="3D4A5C"/>
                <w:sz w:val="22"/>
              </w:rPr>
              <w:t>Global HR &amp; Operations Specialist</w:t>
            </w:r>
          </w:p>
          <w:p>
            <w:pPr>
              <w:spacing w:after="160" w:before="0" w:line="288" w:lineRule="auto"/>
            </w:pPr>
            <w:r>
              <w:rPr>
                <w:rFonts w:ascii="Calibri" w:hAnsi="Calibri" w:eastAsia="Calibri"/>
                <w:b w:val="0"/>
                <w:color w:val="3D4A5C"/>
                <w:sz w:val="19"/>
              </w:rPr>
              <w:t>Global HR and operations partner for APMC group teams across 10 countries. Runs Deel people ops for 200+ employees - company-wide time-off policy, HR data, expenses and daily employee support - plus Polish payroll for the post-layoff core team (14, down from ~50). Tracks and plans company spend, owns expense control and financial reporting into APMC. Owns global insurance, offices in Poland and Spain, and Polish subsidiary governance as Board Member of Laminar Global Poland (APMC subsidiary / employing entity). Path: software-house ops → startup HR build-out → post-acquisition people ops, with recruitment support across APMC, Laminar and ARC.</w:t>
            </w:r>
          </w:p>
          <w:p>
            <w:pPr>
              <w:spacing w:after="20" w:before="0" w:line="269" w:lineRule="auto"/>
            </w:pPr>
            <w:r>
              <w:rPr>
                <w:rFonts w:ascii="Calibri" w:hAnsi="Calibri" w:eastAsia="Calibri"/>
                <w:b w:val="0"/>
                <w:color w:val="6B7A8F"/>
                <w:sz w:val="17"/>
              </w:rPr>
              <w:t>Wrocław, Poland · Open to remote / hybrid</w:t>
            </w:r>
          </w:p>
          <w:p>
            <w:pPr>
              <w:spacing w:after="0" w:before="0" w:line="269" w:lineRule="auto"/>
            </w:pPr>
            <w:r>
              <w:rPr>
                <w:rFonts w:ascii="Calibri" w:hAnsi="Calibri" w:eastAsia="Calibri"/>
                <w:b w:val="0"/>
                <w:color w:val="6B7A8F"/>
                <w:sz w:val="17"/>
              </w:rPr>
              <w:t>m.tomaszewska1994@gmail.com  ·  +48 538 324 450  ·  linkedin.com/in/marta-tomaszewska-363790132/</w:t>
            </w:r>
          </w:p>
        </w:tc>
        <w:tc>
          <w:tcPr>
            <w:tcW w:type="dxa" w:w="1984"/>
            <w:tcMar>
              <w:top w:w="0" w:type="dxa"/>
              <w:left w:w="0" w:type="dxa"/>
              <w:bottom w:w="0" w:type="dxa"/>
              <w:right w:w="0" w:type="dxa"/>
            </w:tcMar>
          </w:tcPr>
          <w:p>
            <w:pPr>
              <w:jc w:val="right"/>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marta.jpg"/>
                          <pic:cNvPicPr/>
                        </pic:nvPicPr>
                        <pic:blipFill>
                          <a:blip r:embed="rId9"/>
                          <a:stretch>
                            <a:fillRect/>
                          </a:stretch>
                        </pic:blipFill>
                        <pic:spPr>
                          <a:xfrm>
                            <a:off x="0" y="0"/>
                            <a:ext cx="1080000" cy="1080000"/>
                          </a:xfrm>
                          <a:prstGeom prst="rect"/>
                        </pic:spPr>
                      </pic:pic>
                    </a:graphicData>
                  </a:graphic>
                </wp:inline>
              </w:drawing>
            </w:r>
          </w:p>
        </w:tc>
      </w:tr>
    </w:tbl>
    <w:p>
      <w:pPr>
        <w:spacing w:before="200" w:after="40"/>
        <w:pBdr>
          <w:bottom w:val="single" w:sz="6" w:space="1" w:color="D5DDE8"/>
        </w:pBdr>
      </w:pPr>
    </w:p>
    <w:p>
      <w:pPr>
        <w:spacing w:before="280" w:after="160"/>
        <w:pBdr>
          <w:bottom w:val="single" w:sz="18" w:space="6" w:color="C5D9D3"/>
        </w:pBdr>
      </w:pPr>
      <w:r>
        <w:rPr>
          <w:rFonts w:ascii="Georgia" w:hAnsi="Georgia" w:eastAsia="Georgia"/>
          <w:b/>
          <w:color w:val="0A4F44"/>
          <w:sz w:val="20"/>
        </w:rPr>
        <w:t>EXPERIENCE</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652"/>
            <w:tcMar>
              <w:top w:w="20" w:type="dxa"/>
              <w:left w:w="0" w:type="dxa"/>
              <w:bottom w:w="20" w:type="dxa"/>
              <w:right w:w="60" w:type="dxa"/>
            </w:tcMar>
          </w:tcPr>
          <w:p>
            <w:pPr>
              <w:spacing w:after="0"/>
            </w:pPr>
            <w:r>
              <w:drawing>
                <wp:inline xmlns:a="http://schemas.openxmlformats.org/drawingml/2006/main" xmlns:pic="http://schemas.openxmlformats.org/drawingml/2006/picture">
                  <wp:extent cx="342000" cy="342000"/>
                  <wp:docPr id="2" name="Picture 2"/>
                  <wp:cNvGraphicFramePr>
                    <a:graphicFrameLocks noChangeAspect="1"/>
                  </wp:cNvGraphicFramePr>
                  <a:graphic>
                    <a:graphicData uri="http://schemas.openxmlformats.org/drawingml/2006/picture">
                      <pic:pic>
                        <pic:nvPicPr>
                          <pic:cNvPr id="0" name="apmc.png"/>
                          <pic:cNvPicPr/>
                        </pic:nvPicPr>
                        <pic:blipFill>
                          <a:blip r:embed="rId10"/>
                          <a:stretch>
                            <a:fillRect/>
                          </a:stretch>
                        </pic:blipFill>
                        <pic:spPr>
                          <a:xfrm>
                            <a:off x="0" y="0"/>
                            <a:ext cx="342000" cy="342000"/>
                          </a:xfrm>
                          <a:prstGeom prst="rect"/>
                        </pic:spPr>
                      </pic:pic>
                    </a:graphicData>
                  </a:graphic>
                </wp:inline>
              </w:drawing>
            </w:r>
          </w:p>
        </w:tc>
        <w:tc>
          <w:tcPr>
            <w:tcW w:type="dxa" w:w="9071"/>
            <w:tcMar>
              <w:top w:w="20" w:type="dxa"/>
              <w:left w:w="40" w:type="dxa"/>
              <w:bottom w:w="20" w:type="dxa"/>
              <w:right w:w="0" w:type="dxa"/>
            </w:tcMar>
          </w:tcPr>
          <w:p>
            <w:pPr>
              <w:spacing w:after="20" w:before="0" w:line="269" w:lineRule="auto"/>
            </w:pPr>
            <w:r>
              <w:rPr>
                <w:rFonts w:ascii="Calibri" w:hAnsi="Calibri" w:eastAsia="Calibri"/>
                <w:b/>
                <w:color w:val="1A2332"/>
                <w:sz w:val="22"/>
              </w:rPr>
              <w:t>A Parent Media Co. Inc. (APMC)</w:t>
            </w:r>
          </w:p>
          <w:p>
            <w:pPr>
              <w:spacing w:after="0" w:before="0" w:line="269" w:lineRule="auto"/>
            </w:pPr>
            <w:r>
              <w:rPr>
                <w:rFonts w:ascii="Calibri" w:hAnsi="Calibri" w:eastAsia="Calibri"/>
                <w:b w:val="0"/>
                <w:color w:val="6B7A8F"/>
                <w:sz w:val="16"/>
              </w:rPr>
              <w:t>Full-time · Jan 2024 - Present · group role via Laminar Global Poland (subsidiary)</w:t>
            </w:r>
          </w:p>
        </w:tc>
      </w:tr>
    </w:tbl>
    <w:p>
      <w:pPr>
        <w:spacing w:after="40" w:before="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Global HR and Operations Specialist</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Oct 2025 - Present</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Primary HR contact for daily people ops across </w:t>
      </w:r>
      <w:r>
        <w:rPr>
          <w:rFonts w:ascii="Calibri" w:hAnsi="Calibri" w:eastAsia="Calibri"/>
          <w:b/>
          <w:color w:val="1A2332"/>
          <w:sz w:val="19"/>
        </w:rPr>
        <w:t>10 countries</w:t>
      </w:r>
      <w:r>
        <w:rPr>
          <w:rFonts w:ascii="Calibri" w:hAnsi="Calibri" w:eastAsia="Calibri"/>
          <w:b w:val="0"/>
          <w:color w:val="3D4A5C"/>
          <w:sz w:val="19"/>
        </w:rPr>
        <w:t xml:space="preserve"> on </w:t>
      </w:r>
      <w:r>
        <w:rPr>
          <w:rFonts w:ascii="Calibri" w:hAnsi="Calibri" w:eastAsia="Calibri"/>
          <w:b/>
          <w:color w:val="1A2332"/>
          <w:sz w:val="19"/>
        </w:rPr>
        <w:t>Deel</w:t>
      </w:r>
      <w:r>
        <w:rPr>
          <w:rFonts w:ascii="Calibri" w:hAnsi="Calibri" w:eastAsia="Calibri"/>
          <w:b w:val="0"/>
          <w:color w:val="3D4A5C"/>
          <w:sz w:val="19"/>
        </w:rPr>
        <w:t xml:space="preserve"> (US, CA, UK, DE, ES, AT, SK, CZ, IN, PL) - contracts, expenses, offboarding and HR data for </w:t>
      </w:r>
      <w:r>
        <w:rPr>
          <w:rFonts w:ascii="Calibri" w:hAnsi="Calibri" w:eastAsia="Calibri"/>
          <w:b/>
          <w:color w:val="1A2332"/>
          <w:sz w:val="19"/>
        </w:rPr>
        <w:t>200+</w:t>
      </w:r>
      <w:r>
        <w:rPr>
          <w:rFonts w:ascii="Calibri" w:hAnsi="Calibri" w:eastAsia="Calibri"/>
          <w:b w:val="0"/>
          <w:color w:val="3D4A5C"/>
          <w:sz w:val="19"/>
        </w:rPr>
        <w:t xml:space="preserve"> employees.</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Designed and rolled out </w:t>
      </w:r>
      <w:r>
        <w:rPr>
          <w:rFonts w:ascii="Calibri" w:hAnsi="Calibri" w:eastAsia="Calibri"/>
          <w:b/>
          <w:color w:val="1A2332"/>
          <w:sz w:val="19"/>
        </w:rPr>
        <w:t>company-wide time-off policies for all of APMC</w:t>
      </w:r>
      <w:r>
        <w:rPr>
          <w:rFonts w:ascii="Calibri" w:hAnsi="Calibri" w:eastAsia="Calibri"/>
          <w:b w:val="0"/>
          <w:color w:val="3D4A5C"/>
          <w:sz w:val="19"/>
        </w:rPr>
        <w:t xml:space="preserve"> (every employee / country in scope); administer leave in Deel.</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Run Polish payroll for the remaining </w:t>
      </w:r>
      <w:r>
        <w:rPr>
          <w:rFonts w:ascii="Calibri" w:hAnsi="Calibri" w:eastAsia="Calibri"/>
          <w:b/>
          <w:color w:val="1A2332"/>
          <w:sz w:val="19"/>
        </w:rPr>
        <w:t>14-person</w:t>
      </w:r>
      <w:r>
        <w:rPr>
          <w:rFonts w:ascii="Calibri" w:hAnsi="Calibri" w:eastAsia="Calibri"/>
          <w:b w:val="0"/>
          <w:color w:val="3D4A5C"/>
          <w:sz w:val="19"/>
        </w:rPr>
        <w:t xml:space="preserve"> core team (down from ~</w:t>
      </w:r>
      <w:r>
        <w:rPr>
          <w:rFonts w:ascii="Calibri" w:hAnsi="Calibri" w:eastAsia="Calibri"/>
          <w:b/>
          <w:color w:val="1A2332"/>
          <w:sz w:val="19"/>
        </w:rPr>
        <w:t>50</w:t>
      </w:r>
      <w:r>
        <w:rPr>
          <w:rFonts w:ascii="Calibri" w:hAnsi="Calibri" w:eastAsia="Calibri"/>
          <w:b w:val="0"/>
          <w:color w:val="3D4A5C"/>
          <w:sz w:val="19"/>
        </w:rPr>
        <w:t xml:space="preserve"> pre-layoff); track and plan company expenses and spend, and deliver financial reports into </w:t>
      </w:r>
      <w:r>
        <w:rPr>
          <w:rFonts w:ascii="Calibri" w:hAnsi="Calibri" w:eastAsia="Calibri"/>
          <w:b/>
          <w:color w:val="1A2332"/>
          <w:sz w:val="19"/>
        </w:rPr>
        <w:t>APMC</w:t>
      </w:r>
      <w:r>
        <w:rPr>
          <w:rFonts w:ascii="Calibri" w:hAnsi="Calibri" w:eastAsia="Calibri"/>
          <w:b w:val="0"/>
          <w:color w:val="3D4A5C"/>
          <w:sz w:val="19"/>
        </w:rPr>
        <w:t>.</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Own global insurance for </w:t>
      </w:r>
      <w:r>
        <w:rPr>
          <w:rFonts w:ascii="Calibri" w:hAnsi="Calibri" w:eastAsia="Calibri"/>
          <w:b/>
          <w:color w:val="1A2332"/>
          <w:sz w:val="19"/>
        </w:rPr>
        <w:t>US, CA, ES, PL</w:t>
      </w:r>
      <w:r>
        <w:rPr>
          <w:rFonts w:ascii="Calibri" w:hAnsi="Calibri" w:eastAsia="Calibri"/>
          <w:b w:val="0"/>
          <w:color w:val="3D4A5C"/>
          <w:sz w:val="19"/>
        </w:rPr>
        <w:t xml:space="preserve"> - employee liability for </w:t>
      </w:r>
      <w:r>
        <w:rPr>
          <w:rFonts w:ascii="Calibri" w:hAnsi="Calibri" w:eastAsia="Calibri"/>
          <w:b/>
          <w:color w:val="1A2332"/>
          <w:sz w:val="19"/>
        </w:rPr>
        <w:t>200+</w:t>
      </w:r>
      <w:r>
        <w:rPr>
          <w:rFonts w:ascii="Calibri" w:hAnsi="Calibri" w:eastAsia="Calibri"/>
          <w:b w:val="0"/>
          <w:color w:val="3D4A5C"/>
          <w:sz w:val="19"/>
        </w:rPr>
        <w:t xml:space="preserve"> staff plus ~</w:t>
      </w:r>
      <w:r>
        <w:rPr>
          <w:rFonts w:ascii="Calibri" w:hAnsi="Calibri" w:eastAsia="Calibri"/>
          <w:b/>
          <w:color w:val="1A2332"/>
          <w:sz w:val="19"/>
        </w:rPr>
        <w:t>20</w:t>
      </w:r>
      <w:r>
        <w:rPr>
          <w:rFonts w:ascii="Calibri" w:hAnsi="Calibri" w:eastAsia="Calibri"/>
          <w:b w:val="0"/>
          <w:color w:val="3D4A5C"/>
          <w:sz w:val="19"/>
        </w:rPr>
        <w:t xml:space="preserve"> other policies adjusted in the last year.</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Manage offices in </w:t>
      </w:r>
      <w:r>
        <w:rPr>
          <w:rFonts w:ascii="Calibri" w:hAnsi="Calibri" w:eastAsia="Calibri"/>
          <w:b/>
          <w:color w:val="1A2332"/>
          <w:sz w:val="19"/>
        </w:rPr>
        <w:t>Poland and Spain</w:t>
      </w:r>
      <w:r>
        <w:rPr>
          <w:rFonts w:ascii="Calibri" w:hAnsi="Calibri" w:eastAsia="Calibri"/>
          <w:b w:val="0"/>
          <w:color w:val="3D4A5C"/>
          <w:sz w:val="19"/>
        </w:rPr>
        <w:t xml:space="preserve">; as </w:t>
      </w:r>
      <w:r>
        <w:rPr>
          <w:rFonts w:ascii="Calibri" w:hAnsi="Calibri" w:eastAsia="Calibri"/>
          <w:b/>
          <w:color w:val="1A2332"/>
          <w:sz w:val="19"/>
        </w:rPr>
        <w:t>Board Member, Laminar Global Poland</w:t>
      </w:r>
      <w:r>
        <w:rPr>
          <w:rFonts w:ascii="Calibri" w:hAnsi="Calibri" w:eastAsia="Calibri"/>
          <w:b w:val="0"/>
          <w:color w:val="3D4A5C"/>
          <w:sz w:val="19"/>
        </w:rPr>
        <w:t xml:space="preserve"> sign PL legal docs and represent the company before authorities. Support recruitment for group hires.</w:t>
      </w:r>
    </w:p>
    <w:p>
      <w:pPr>
        <w:spacing w:after="8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Business &amp; Global Operations Support</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Jan 2024 - Oct 2025</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Led post-acquisition people-ops integration of Laminar into APMC; stood up </w:t>
      </w:r>
      <w:r>
        <w:rPr>
          <w:rFonts w:ascii="Calibri" w:hAnsi="Calibri" w:eastAsia="Calibri"/>
          <w:b/>
          <w:color w:val="1A2332"/>
          <w:sz w:val="19"/>
        </w:rPr>
        <w:t>Deel</w:t>
      </w:r>
      <w:r>
        <w:rPr>
          <w:rFonts w:ascii="Calibri" w:hAnsi="Calibri" w:eastAsia="Calibri"/>
          <w:b w:val="0"/>
          <w:color w:val="3D4A5C"/>
          <w:sz w:val="19"/>
        </w:rPr>
        <w:t xml:space="preserve"> and stabilized HR, expense tracking and payment workflows after headcount reduction.</w:t>
      </w:r>
    </w:p>
    <w:p>
      <w:pPr>
        <w:spacing w:after="12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652"/>
            <w:tcMar>
              <w:top w:w="20" w:type="dxa"/>
              <w:left w:w="0" w:type="dxa"/>
              <w:bottom w:w="20" w:type="dxa"/>
              <w:right w:w="60" w:type="dxa"/>
            </w:tcMar>
          </w:tcPr>
          <w:p>
            <w:pPr>
              <w:spacing w:after="0"/>
            </w:pPr>
            <w:r>
              <w:drawing>
                <wp:inline xmlns:a="http://schemas.openxmlformats.org/drawingml/2006/main" xmlns:pic="http://schemas.openxmlformats.org/drawingml/2006/picture">
                  <wp:extent cx="342000" cy="342000"/>
                  <wp:docPr id="3" name="Picture 3"/>
                  <wp:cNvGraphicFramePr>
                    <a:graphicFrameLocks noChangeAspect="1"/>
                  </wp:cNvGraphicFramePr>
                  <a:graphic>
                    <a:graphicData uri="http://schemas.openxmlformats.org/drawingml/2006/picture">
                      <pic:pic>
                        <pic:nvPicPr>
                          <pic:cNvPr id="0" name="laminar.png"/>
                          <pic:cNvPicPr/>
                        </pic:nvPicPr>
                        <pic:blipFill>
                          <a:blip r:embed="rId11"/>
                          <a:stretch>
                            <a:fillRect/>
                          </a:stretch>
                        </pic:blipFill>
                        <pic:spPr>
                          <a:xfrm>
                            <a:off x="0" y="0"/>
                            <a:ext cx="342000" cy="342000"/>
                          </a:xfrm>
                          <a:prstGeom prst="rect"/>
                        </pic:spPr>
                      </pic:pic>
                    </a:graphicData>
                  </a:graphic>
                </wp:inline>
              </w:drawing>
            </w:r>
          </w:p>
        </w:tc>
        <w:tc>
          <w:tcPr>
            <w:tcW w:type="dxa" w:w="9071"/>
            <w:tcMar>
              <w:top w:w="20" w:type="dxa"/>
              <w:left w:w="40" w:type="dxa"/>
              <w:bottom w:w="20" w:type="dxa"/>
              <w:right w:w="0" w:type="dxa"/>
            </w:tcMar>
          </w:tcPr>
          <w:p>
            <w:pPr>
              <w:spacing w:after="20" w:before="0" w:line="269" w:lineRule="auto"/>
            </w:pPr>
            <w:r>
              <w:rPr>
                <w:rFonts w:ascii="Calibri" w:hAnsi="Calibri" w:eastAsia="Calibri"/>
                <w:b/>
                <w:color w:val="1A2332"/>
                <w:sz w:val="22"/>
              </w:rPr>
              <w:t>Laminar Global / Laminar Global Poland</w:t>
            </w:r>
          </w:p>
          <w:p>
            <w:pPr>
              <w:spacing w:after="0" w:before="0" w:line="269" w:lineRule="auto"/>
            </w:pPr>
            <w:r>
              <w:rPr>
                <w:rFonts w:ascii="Calibri" w:hAnsi="Calibri" w:eastAsia="Calibri"/>
                <w:b w:val="0"/>
                <w:color w:val="6B7A8F"/>
                <w:sz w:val="16"/>
              </w:rPr>
              <w:t>Full-time · Apr 2022 - Present · APMC subsidiary since Jan 2024 · employing entity</w:t>
            </w:r>
          </w:p>
        </w:tc>
      </w:tr>
    </w:tbl>
    <w:p>
      <w:pPr>
        <w:spacing w:after="40" w:before="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HR Specialist &amp; Business Support</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Apr 2022 - Present</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Built HR / business support from ARC co-founded venture through acquisition; contract remains with </w:t>
      </w:r>
      <w:r>
        <w:rPr>
          <w:rFonts w:ascii="Calibri" w:hAnsi="Calibri" w:eastAsia="Calibri"/>
          <w:b/>
          <w:color w:val="1A2332"/>
          <w:sz w:val="19"/>
        </w:rPr>
        <w:t>Laminar Global Poland</w:t>
      </w:r>
      <w:r>
        <w:rPr>
          <w:rFonts w:ascii="Calibri" w:hAnsi="Calibri" w:eastAsia="Calibri"/>
          <w:b w:val="0"/>
          <w:color w:val="3D4A5C"/>
          <w:sz w:val="19"/>
        </w:rPr>
        <w:t>.</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Ran payroll for ~</w:t>
      </w:r>
      <w:r>
        <w:rPr>
          <w:rFonts w:ascii="Calibri" w:hAnsi="Calibri" w:eastAsia="Calibri"/>
          <w:b/>
          <w:color w:val="1A2332"/>
          <w:sz w:val="19"/>
        </w:rPr>
        <w:t>50 employees</w:t>
      </w:r>
      <w:r>
        <w:rPr>
          <w:rFonts w:ascii="Calibri" w:hAnsi="Calibri" w:eastAsia="Calibri"/>
          <w:b w:val="0"/>
          <w:color w:val="3D4A5C"/>
          <w:sz w:val="19"/>
        </w:rPr>
        <w:t xml:space="preserve"> pre-Deel / pre-layoff; coordinated founder &amp; corporate agreements with </w:t>
      </w:r>
      <w:r>
        <w:rPr>
          <w:rFonts w:ascii="Calibri" w:hAnsi="Calibri" w:eastAsia="Calibri"/>
          <w:b/>
          <w:color w:val="1A2332"/>
          <w:sz w:val="19"/>
        </w:rPr>
        <w:t>Osborne Clarke</w:t>
      </w:r>
      <w:r>
        <w:rPr>
          <w:rFonts w:ascii="Calibri" w:hAnsi="Calibri" w:eastAsia="Calibri"/>
          <w:b w:val="0"/>
          <w:color w:val="3D4A5C"/>
          <w:sz w:val="19"/>
        </w:rPr>
        <w:t>.</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Owned tax / accounting liaison (financial statements, transfer pricing, PIT) and asset register of </w:t>
      </w:r>
      <w:r>
        <w:rPr>
          <w:rFonts w:ascii="Calibri" w:hAnsi="Calibri" w:eastAsia="Calibri"/>
          <w:b/>
          <w:color w:val="1A2332"/>
          <w:sz w:val="19"/>
        </w:rPr>
        <w:t>70 devices</w:t>
      </w:r>
      <w:r>
        <w:rPr>
          <w:rFonts w:ascii="Calibri" w:hAnsi="Calibri" w:eastAsia="Calibri"/>
          <w:b w:val="0"/>
          <w:color w:val="3D4A5C"/>
          <w:sz w:val="19"/>
        </w:rPr>
        <w:t>.</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Ran recruitment via an </w:t>
      </w:r>
      <w:r>
        <w:rPr>
          <w:rFonts w:ascii="Calibri" w:hAnsi="Calibri" w:eastAsia="Calibri"/>
          <w:b/>
          <w:color w:val="1A2332"/>
          <w:sz w:val="19"/>
        </w:rPr>
        <w:t>external recruiting agency</w:t>
      </w:r>
      <w:r>
        <w:rPr>
          <w:rFonts w:ascii="Calibri" w:hAnsi="Calibri" w:eastAsia="Calibri"/>
          <w:b w:val="0"/>
          <w:color w:val="3D4A5C"/>
          <w:sz w:val="19"/>
        </w:rPr>
        <w:t xml:space="preserve"> - role briefs, candidates, contracts and onboarding on the company side.</w:t>
      </w:r>
    </w:p>
    <w:p>
      <w:pPr>
        <w:spacing w:after="12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652"/>
            <w:tcMar>
              <w:top w:w="20" w:type="dxa"/>
              <w:left w:w="0" w:type="dxa"/>
              <w:bottom w:w="20" w:type="dxa"/>
              <w:right w:w="60" w:type="dxa"/>
            </w:tcMar>
          </w:tcPr>
          <w:p>
            <w:pPr>
              <w:spacing w:after="0"/>
            </w:pPr>
            <w:r>
              <w:drawing>
                <wp:inline xmlns:a="http://schemas.openxmlformats.org/drawingml/2006/main" xmlns:pic="http://schemas.openxmlformats.org/drawingml/2006/picture">
                  <wp:extent cx="342000" cy="342000"/>
                  <wp:docPr id="4" name="Picture 4"/>
                  <wp:cNvGraphicFramePr>
                    <a:graphicFrameLocks noChangeAspect="1"/>
                  </wp:cNvGraphicFramePr>
                  <a:graphic>
                    <a:graphicData uri="http://schemas.openxmlformats.org/drawingml/2006/picture">
                      <pic:pic>
                        <pic:nvPicPr>
                          <pic:cNvPr id="0" name="arc.png"/>
                          <pic:cNvPicPr/>
                        </pic:nvPicPr>
                        <pic:blipFill>
                          <a:blip r:embed="rId12"/>
                          <a:stretch>
                            <a:fillRect/>
                          </a:stretch>
                        </pic:blipFill>
                        <pic:spPr>
                          <a:xfrm>
                            <a:off x="0" y="0"/>
                            <a:ext cx="342000" cy="342000"/>
                          </a:xfrm>
                          <a:prstGeom prst="rect"/>
                        </pic:spPr>
                      </pic:pic>
                    </a:graphicData>
                  </a:graphic>
                </wp:inline>
              </w:drawing>
            </w:r>
          </w:p>
        </w:tc>
        <w:tc>
          <w:tcPr>
            <w:tcW w:type="dxa" w:w="9071"/>
            <w:tcMar>
              <w:top w:w="20" w:type="dxa"/>
              <w:left w:w="40" w:type="dxa"/>
              <w:bottom w:w="20" w:type="dxa"/>
              <w:right w:w="0" w:type="dxa"/>
            </w:tcMar>
          </w:tcPr>
          <w:p>
            <w:pPr>
              <w:spacing w:after="20" w:before="0" w:line="269" w:lineRule="auto"/>
            </w:pPr>
            <w:r>
              <w:rPr>
                <w:rFonts w:ascii="Calibri" w:hAnsi="Calibri" w:eastAsia="Calibri"/>
                <w:b/>
                <w:color w:val="1A2332"/>
                <w:sz w:val="22"/>
              </w:rPr>
              <w:t>ARC Software</w:t>
            </w:r>
          </w:p>
          <w:p>
            <w:pPr>
              <w:spacing w:after="0" w:before="0" w:line="269" w:lineRule="auto"/>
            </w:pPr>
            <w:r>
              <w:rPr>
                <w:rFonts w:ascii="Calibri" w:hAnsi="Calibri" w:eastAsia="Calibri"/>
                <w:b w:val="0"/>
                <w:color w:val="6B7A8F"/>
                <w:sz w:val="16"/>
              </w:rPr>
              <w:t>Mar 2022 - Present · full-time through ~2023, then residual subcontract (few hrs / month)</w:t>
            </w:r>
          </w:p>
        </w:tc>
      </w:tr>
    </w:tbl>
    <w:p>
      <w:pPr>
        <w:spacing w:after="40" w:before="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Business Support Specialist</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Mar 2022 - Present</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Administered contractor agreements for developers, QA and PMs - peaking at </w:t>
      </w:r>
      <w:r>
        <w:rPr>
          <w:rFonts w:ascii="Calibri" w:hAnsi="Calibri" w:eastAsia="Calibri"/>
          <w:b/>
          <w:color w:val="1A2332"/>
          <w:sz w:val="19"/>
        </w:rPr>
        <w:t>75 contractors (2023)</w:t>
      </w:r>
      <w:r>
        <w:rPr>
          <w:rFonts w:ascii="Calibri" w:hAnsi="Calibri" w:eastAsia="Calibri"/>
          <w:b w:val="0"/>
          <w:color w:val="3D4A5C"/>
          <w:sz w:val="19"/>
        </w:rPr>
        <w:t>; legal / finance liaison with clients and external accounting.</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Took part in recruitment (dev, QA, PM) - coordination, contracts and starter docs.</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 xml:space="preserve">Supported </w:t>
      </w:r>
      <w:r>
        <w:rPr>
          <w:rFonts w:ascii="Calibri" w:hAnsi="Calibri" w:eastAsia="Calibri"/>
          <w:b/>
          <w:color w:val="1A2332"/>
          <w:sz w:val="19"/>
        </w:rPr>
        <w:t>Add Secure (Sweden)</w:t>
      </w:r>
      <w:r>
        <w:rPr>
          <w:rFonts w:ascii="Calibri" w:hAnsi="Calibri" w:eastAsia="Calibri"/>
          <w:b w:val="0"/>
          <w:color w:val="3D4A5C"/>
          <w:sz w:val="19"/>
        </w:rPr>
        <w:t xml:space="preserve">, </w:t>
      </w:r>
      <w:r>
        <w:rPr>
          <w:rFonts w:ascii="Calibri" w:hAnsi="Calibri" w:eastAsia="Calibri"/>
          <w:b/>
          <w:color w:val="1A2332"/>
          <w:sz w:val="19"/>
        </w:rPr>
        <w:t>Medcase (Israel)</w:t>
      </w:r>
      <w:r>
        <w:rPr>
          <w:rFonts w:ascii="Calibri" w:hAnsi="Calibri" w:eastAsia="Calibri"/>
          <w:b w:val="0"/>
          <w:color w:val="3D4A5C"/>
          <w:sz w:val="19"/>
        </w:rPr>
        <w:t xml:space="preserve"> and Polish accounts - invoicing, year-end filings; subsidiary docs for </w:t>
      </w:r>
      <w:r>
        <w:rPr>
          <w:rFonts w:ascii="Calibri" w:hAnsi="Calibri" w:eastAsia="Calibri"/>
          <w:b/>
          <w:color w:val="1A2332"/>
          <w:sz w:val="19"/>
        </w:rPr>
        <w:t>ARC DermoBook</w:t>
      </w:r>
      <w:r>
        <w:rPr>
          <w:rFonts w:ascii="Calibri" w:hAnsi="Calibri" w:eastAsia="Calibri"/>
          <w:b w:val="0"/>
          <w:color w:val="3D4A5C"/>
          <w:sz w:val="19"/>
        </w:rPr>
        <w:t xml:space="preserve"> and </w:t>
      </w:r>
      <w:r>
        <w:rPr>
          <w:rFonts w:ascii="Calibri" w:hAnsi="Calibri" w:eastAsia="Calibri"/>
          <w:b/>
          <w:color w:val="1A2332"/>
          <w:sz w:val="19"/>
        </w:rPr>
        <w:t>Diagno6 PSA</w:t>
      </w:r>
      <w:r>
        <w:rPr>
          <w:rFonts w:ascii="Calibri" w:hAnsi="Calibri" w:eastAsia="Calibri"/>
          <w:b w:val="0"/>
          <w:color w:val="3D4A5C"/>
          <w:sz w:val="19"/>
        </w:rPr>
        <w:t>.</w:t>
      </w:r>
    </w:p>
    <w:p>
      <w:pPr>
        <w:spacing w:after="12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652"/>
            <w:tcMar>
              <w:top w:w="20" w:type="dxa"/>
              <w:left w:w="0" w:type="dxa"/>
              <w:bottom w:w="20" w:type="dxa"/>
              <w:right w:w="60" w:type="dxa"/>
            </w:tcMar>
          </w:tcPr>
          <w:p>
            <w:pPr>
              <w:spacing w:after="0"/>
            </w:pPr>
            <w:r>
              <w:drawing>
                <wp:inline xmlns:a="http://schemas.openxmlformats.org/drawingml/2006/main" xmlns:pic="http://schemas.openxmlformats.org/drawingml/2006/picture">
                  <wp:extent cx="342000" cy="342000"/>
                  <wp:docPr id="5" name="Picture 5"/>
                  <wp:cNvGraphicFramePr>
                    <a:graphicFrameLocks noChangeAspect="1"/>
                  </wp:cNvGraphicFramePr>
                  <a:graphic>
                    <a:graphicData uri="http://schemas.openxmlformats.org/drawingml/2006/picture">
                      <pic:pic>
                        <pic:nvPicPr>
                          <pic:cNvPr id="0" name="buczynski.png"/>
                          <pic:cNvPicPr/>
                        </pic:nvPicPr>
                        <pic:blipFill>
                          <a:blip r:embed="rId13"/>
                          <a:stretch>
                            <a:fillRect/>
                          </a:stretch>
                        </pic:blipFill>
                        <pic:spPr>
                          <a:xfrm>
                            <a:off x="0" y="0"/>
                            <a:ext cx="342000" cy="342000"/>
                          </a:xfrm>
                          <a:prstGeom prst="rect"/>
                        </pic:spPr>
                      </pic:pic>
                    </a:graphicData>
                  </a:graphic>
                </wp:inline>
              </w:drawing>
            </w:r>
          </w:p>
        </w:tc>
        <w:tc>
          <w:tcPr>
            <w:tcW w:type="dxa" w:w="9071"/>
            <w:tcMar>
              <w:top w:w="20" w:type="dxa"/>
              <w:left w:w="40" w:type="dxa"/>
              <w:bottom w:w="20" w:type="dxa"/>
              <w:right w:w="0" w:type="dxa"/>
            </w:tcMar>
          </w:tcPr>
          <w:p>
            <w:pPr>
              <w:spacing w:after="20" w:before="0" w:line="269" w:lineRule="auto"/>
            </w:pPr>
            <w:r>
              <w:rPr>
                <w:rFonts w:ascii="Calibri" w:hAnsi="Calibri" w:eastAsia="Calibri"/>
                <w:b/>
                <w:color w:val="1A2332"/>
                <w:sz w:val="22"/>
              </w:rPr>
              <w:t>Buczyński Adwokacka S.K.A.</w:t>
            </w:r>
          </w:p>
          <w:p>
            <w:pPr>
              <w:spacing w:after="0" w:before="0" w:line="269" w:lineRule="auto"/>
            </w:pPr>
            <w:r>
              <w:rPr>
                <w:rFonts w:ascii="Calibri" w:hAnsi="Calibri" w:eastAsia="Calibri"/>
                <w:b w:val="0"/>
                <w:color w:val="6B7A8F"/>
                <w:sz w:val="16"/>
              </w:rPr>
              <w:t>Full-time · Jul 2020 - Feb 2022 · Wrocław</w:t>
            </w:r>
          </w:p>
        </w:tc>
      </w:tr>
    </w:tbl>
    <w:p>
      <w:pPr>
        <w:spacing w:after="40" w:before="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Office Manager</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Jul 2020 - Feb 2022</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Ran law-firm operations: calendars, correspondence, archiving, core HR; liaised with courts and public bodies; managed residence / employment legalization.</w:t>
      </w:r>
    </w:p>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Supported Polish and international clients on operational matters; co-created the firm's visual identity system.</w:t>
      </w:r>
    </w:p>
    <w:p>
      <w:pPr>
        <w:spacing w:after="12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652"/>
            <w:tcMar>
              <w:top w:w="40" w:type="dxa"/>
              <w:left w:w="40" w:type="dxa"/>
              <w:bottom w:w="40" w:type="dxa"/>
              <w:right w:w="40" w:type="dxa"/>
            </w:tcMar>
            <w:shd w:fill="E8F2EF" w:val="clear"/>
          </w:tcPr>
          <w:p>
            <w:pPr>
              <w:jc w:val="center"/>
            </w:pPr>
            <w:r>
              <w:rPr>
                <w:rFonts w:ascii="Calibri" w:hAnsi="Calibri" w:eastAsia="Calibri"/>
                <w:b/>
                <w:color w:val="0A4F44"/>
                <w:sz w:val="24"/>
              </w:rPr>
              <w:t>R</w:t>
            </w:r>
          </w:p>
        </w:tc>
        <w:tc>
          <w:tcPr>
            <w:tcW w:type="dxa" w:w="9071"/>
            <w:tcMar>
              <w:top w:w="20" w:type="dxa"/>
              <w:left w:w="40" w:type="dxa"/>
              <w:bottom w:w="20" w:type="dxa"/>
              <w:right w:w="0" w:type="dxa"/>
            </w:tcMar>
          </w:tcPr>
          <w:p>
            <w:pPr>
              <w:spacing w:after="20" w:before="0" w:line="269" w:lineRule="auto"/>
            </w:pPr>
            <w:r>
              <w:rPr>
                <w:rFonts w:ascii="Calibri" w:hAnsi="Calibri" w:eastAsia="Calibri"/>
                <w:b/>
                <w:color w:val="1A2332"/>
                <w:sz w:val="22"/>
              </w:rPr>
              <w:t>REGULATOR Agencja Eventowa</w:t>
            </w:r>
          </w:p>
          <w:p>
            <w:pPr>
              <w:spacing w:after="0" w:before="0" w:line="269" w:lineRule="auto"/>
            </w:pPr>
            <w:r>
              <w:rPr>
                <w:rFonts w:ascii="Calibri" w:hAnsi="Calibri" w:eastAsia="Calibri"/>
                <w:b w:val="0"/>
                <w:color w:val="6B7A8F"/>
                <w:sz w:val="16"/>
              </w:rPr>
              <w:t>Freelance · Apr 2019 - Sep 2021 · Wrocław</w:t>
            </w:r>
          </w:p>
        </w:tc>
      </w:tr>
    </w:tbl>
    <w:p>
      <w:pPr>
        <w:spacing w:after="4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046"/>
        <w:gridCol w:w="5046"/>
      </w:tblGrid>
      <w:tr>
        <w:tc>
          <w:tcPr>
            <w:tcW w:type="dxa" w:w="7087"/>
            <w:tcMar>
              <w:top w:w="0" w:type="dxa"/>
              <w:left w:w="200" w:type="dxa"/>
              <w:bottom w:w="0" w:type="dxa"/>
              <w:right w:w="40" w:type="dxa"/>
            </w:tcMar>
            <w:tcBorders>
              <w:top w:val="nil"/>
              <w:bottom w:val="nil"/>
              <w:right w:val="nil"/>
              <w:left w:val="single" w:sz="24" w:space="8" w:color="E8F2EF"/>
            </w:tcBorders>
          </w:tcPr>
          <w:p>
            <w:pPr>
              <w:spacing w:after="0" w:before="0" w:line="269" w:lineRule="auto"/>
            </w:pPr>
            <w:r>
              <w:rPr>
                <w:rFonts w:ascii="Calibri" w:hAnsi="Calibri" w:eastAsia="Calibri"/>
                <w:b/>
                <w:color w:val="1A2332"/>
                <w:sz w:val="20"/>
              </w:rPr>
              <w:t>Event Manager</w:t>
            </w:r>
          </w:p>
        </w:tc>
        <w:tc>
          <w:tcPr>
            <w:tcW w:type="dxa" w:w="2665"/>
            <w:tcMar>
              <w:top w:w="0" w:type="dxa"/>
              <w:left w:w="0" w:type="dxa"/>
              <w:bottom w:w="0" w:type="dxa"/>
              <w:right w:w="0" w:type="dxa"/>
            </w:tcMar>
          </w:tcPr>
          <w:p>
            <w:pPr>
              <w:spacing w:after="0" w:before="0" w:line="269" w:lineRule="auto"/>
              <w:jc w:val="right"/>
            </w:pPr>
            <w:r>
              <w:rPr>
                <w:rFonts w:ascii="Calibri" w:hAnsi="Calibri" w:eastAsia="Calibri"/>
                <w:b/>
                <w:color w:val="6B7A8F"/>
                <w:sz w:val="16"/>
              </w:rPr>
              <w:t>Apr 2019 - Sep 2021</w:t>
            </w:r>
          </w:p>
        </w:tc>
      </w:tr>
    </w:tbl>
    <w:p>
      <w:pPr>
        <w:spacing w:after="40" w:before="0" w:line="276" w:lineRule="auto"/>
        <w:ind w:left="765" w:hanging="198"/>
      </w:pPr>
      <w:r>
        <w:rPr>
          <w:rFonts w:ascii="Calibri" w:hAnsi="Calibri" w:eastAsia="Calibri"/>
          <w:b w:val="0"/>
          <w:color w:val="0E6B5C"/>
          <w:sz w:val="19"/>
        </w:rPr>
        <w:t xml:space="preserve">•  </w:t>
      </w:r>
      <w:r>
        <w:rPr>
          <w:rFonts w:ascii="Calibri" w:hAnsi="Calibri" w:eastAsia="Calibri"/>
          <w:b w:val="0"/>
          <w:color w:val="3D4A5C"/>
          <w:sz w:val="19"/>
        </w:rPr>
        <w:t>Delivered public events within fixed budgets - concept, vendors, logistics and on-site execution under tight deadlines.</w:t>
      </w:r>
    </w:p>
    <w:p>
      <w:pPr>
        <w:spacing w:before="280" w:after="160"/>
        <w:pBdr>
          <w:bottom w:val="single" w:sz="18" w:space="6" w:color="C5D9D3"/>
        </w:pBdr>
      </w:pPr>
      <w:r>
        <w:rPr>
          <w:rFonts w:ascii="Georgia" w:hAnsi="Georgia" w:eastAsia="Georgia"/>
          <w:b/>
          <w:color w:val="0A4F44"/>
          <w:sz w:val="20"/>
        </w:rPr>
        <w:t>EDUCATION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64"/>
        <w:gridCol w:w="3364"/>
        <w:gridCol w:w="3364"/>
      </w:tblGrid>
      <w:tr>
        <w:tc>
          <w:tcPr>
            <w:tcW w:type="dxa" w:w="624"/>
            <w:tcMar>
              <w:top w:w="40" w:type="dxa"/>
              <w:left w:w="0" w:type="dxa"/>
              <w:bottom w:w="40" w:type="dxa"/>
              <w:right w:w="40" w:type="dxa"/>
            </w:tcMar>
          </w:tcPr>
          <w:p>
            <w:r>
              <w:drawing>
                <wp:inline xmlns:a="http://schemas.openxmlformats.org/drawingml/2006/main" xmlns:pic="http://schemas.openxmlformats.org/drawingml/2006/picture">
                  <wp:extent cx="306000" cy="306000"/>
                  <wp:docPr id="6" name="Picture 6"/>
                  <wp:cNvGraphicFramePr>
                    <a:graphicFrameLocks noChangeAspect="1"/>
                  </wp:cNvGraphicFramePr>
                  <a:graphic>
                    <a:graphicData uri="http://schemas.openxmlformats.org/drawingml/2006/picture">
                      <pic:pic>
                        <pic:nvPicPr>
                          <pic:cNvPr id="0" name="upwr.png"/>
                          <pic:cNvPicPr/>
                        </pic:nvPicPr>
                        <pic:blipFill>
                          <a:blip r:embed="rId14"/>
                          <a:stretch>
                            <a:fillRect/>
                          </a:stretch>
                        </pic:blipFill>
                        <pic:spPr>
                          <a:xfrm>
                            <a:off x="0" y="0"/>
                            <a:ext cx="306000" cy="306000"/>
                          </a:xfrm>
                          <a:prstGeom prst="rect"/>
                        </pic:spPr>
                      </pic:pic>
                    </a:graphicData>
                  </a:graphic>
                </wp:inline>
              </w:drawing>
            </w:r>
          </w:p>
        </w:tc>
        <w:tc>
          <w:tcPr>
            <w:tcW w:type="dxa" w:w="7654"/>
            <w:tcMar>
              <w:top w:w="40" w:type="dxa"/>
              <w:left w:w="40" w:type="dxa"/>
              <w:bottom w:w="40" w:type="dxa"/>
              <w:right w:w="40" w:type="dxa"/>
            </w:tcMar>
          </w:tcPr>
          <w:p>
            <w:pPr>
              <w:spacing w:after="20" w:before="0" w:line="269" w:lineRule="auto"/>
            </w:pPr>
            <w:r>
              <w:rPr>
                <w:rFonts w:ascii="Calibri" w:hAnsi="Calibri" w:eastAsia="Calibri"/>
                <w:b/>
                <w:color w:val="1A2332"/>
                <w:sz w:val="20"/>
              </w:rPr>
              <w:t>Wrocław University of Environmental and Life Sciences</w:t>
            </w:r>
          </w:p>
          <w:p>
            <w:pPr>
              <w:spacing w:after="0" w:before="0" w:line="269" w:lineRule="auto"/>
            </w:pPr>
            <w:r>
              <w:rPr>
                <w:rFonts w:ascii="Calibri" w:hAnsi="Calibri" w:eastAsia="Calibri"/>
                <w:b w:val="0"/>
                <w:color w:val="3D4A5C"/>
                <w:sz w:val="18"/>
              </w:rPr>
              <w:t>Mgr inż. - Landscape Architecture</w:t>
            </w:r>
          </w:p>
        </w:tc>
        <w:tc>
          <w:tcPr>
            <w:tcW w:type="dxa" w:w="1474"/>
            <w:tcMar>
              <w:top w:w="40" w:type="dxa"/>
              <w:left w:w="0" w:type="dxa"/>
              <w:bottom w:w="40" w:type="dxa"/>
              <w:right w:w="0" w:type="dxa"/>
            </w:tcMar>
          </w:tcPr>
          <w:p>
            <w:pPr>
              <w:spacing w:after="0" w:before="0" w:line="269" w:lineRule="auto"/>
              <w:jc w:val="right"/>
            </w:pPr>
            <w:r>
              <w:rPr>
                <w:rFonts w:ascii="Calibri" w:hAnsi="Calibri" w:eastAsia="Calibri"/>
                <w:b/>
                <w:color w:val="6B7A8F"/>
                <w:sz w:val="16"/>
              </w:rPr>
              <w:t>2013 - 2019</w:t>
            </w:r>
          </w:p>
        </w:tc>
      </w:tr>
    </w:tbl>
    <w:p>
      <w:pPr>
        <w:spacing w:after="80"/>
      </w:pP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64"/>
        <w:gridCol w:w="3364"/>
        <w:gridCol w:w="3364"/>
      </w:tblGrid>
      <w:tr>
        <w:tc>
          <w:tcPr>
            <w:tcW w:type="dxa" w:w="624"/>
            <w:tcMar>
              <w:top w:w="40" w:type="dxa"/>
              <w:left w:w="0" w:type="dxa"/>
              <w:bottom w:w="40" w:type="dxa"/>
              <w:right w:w="40" w:type="dxa"/>
            </w:tcMar>
          </w:tcPr>
          <w:p>
            <w:r>
              <w:drawing>
                <wp:inline xmlns:a="http://schemas.openxmlformats.org/drawingml/2006/main" xmlns:pic="http://schemas.openxmlformats.org/drawingml/2006/picture">
                  <wp:extent cx="306000" cy="306000"/>
                  <wp:docPr id="7" name="Picture 7"/>
                  <wp:cNvGraphicFramePr>
                    <a:graphicFrameLocks noChangeAspect="1"/>
                  </wp:cNvGraphicFramePr>
                  <a:graphic>
                    <a:graphicData uri="http://schemas.openxmlformats.org/drawingml/2006/picture">
                      <pic:pic>
                        <pic:nvPicPr>
                          <pic:cNvPr id="0" name="hunan.png"/>
                          <pic:cNvPicPr/>
                        </pic:nvPicPr>
                        <pic:blipFill>
                          <a:blip r:embed="rId15"/>
                          <a:stretch>
                            <a:fillRect/>
                          </a:stretch>
                        </pic:blipFill>
                        <pic:spPr>
                          <a:xfrm>
                            <a:off x="0" y="0"/>
                            <a:ext cx="306000" cy="306000"/>
                          </a:xfrm>
                          <a:prstGeom prst="rect"/>
                        </pic:spPr>
                      </pic:pic>
                    </a:graphicData>
                  </a:graphic>
                </wp:inline>
              </w:drawing>
            </w:r>
          </w:p>
        </w:tc>
        <w:tc>
          <w:tcPr>
            <w:tcW w:type="dxa" w:w="7654"/>
            <w:tcMar>
              <w:top w:w="40" w:type="dxa"/>
              <w:left w:w="40" w:type="dxa"/>
              <w:bottom w:w="40" w:type="dxa"/>
              <w:right w:w="40" w:type="dxa"/>
            </w:tcMar>
          </w:tcPr>
          <w:p>
            <w:pPr>
              <w:spacing w:after="20" w:before="0" w:line="269" w:lineRule="auto"/>
            </w:pPr>
            <w:r>
              <w:rPr>
                <w:rFonts w:ascii="Calibri" w:hAnsi="Calibri" w:eastAsia="Calibri"/>
                <w:b/>
                <w:color w:val="1A2332"/>
                <w:sz w:val="20"/>
              </w:rPr>
              <w:t>Hunan Agricultural University</w:t>
            </w:r>
          </w:p>
          <w:p>
            <w:pPr>
              <w:spacing w:after="0" w:before="0" w:line="269" w:lineRule="auto"/>
            </w:pPr>
            <w:r>
              <w:rPr>
                <w:rFonts w:ascii="Calibri" w:hAnsi="Calibri" w:eastAsia="Calibri"/>
                <w:b w:val="0"/>
                <w:color w:val="3D4A5C"/>
                <w:sz w:val="18"/>
              </w:rPr>
              <w:t>Mgr inż. - Landscape Architecture · dual programme, China</w:t>
            </w:r>
          </w:p>
        </w:tc>
        <w:tc>
          <w:tcPr>
            <w:tcW w:type="dxa" w:w="1474"/>
            <w:tcMar>
              <w:top w:w="40" w:type="dxa"/>
              <w:left w:w="0" w:type="dxa"/>
              <w:bottom w:w="40" w:type="dxa"/>
              <w:right w:w="0" w:type="dxa"/>
            </w:tcMar>
          </w:tcPr>
          <w:p>
            <w:pPr>
              <w:spacing w:after="0" w:before="0" w:line="269" w:lineRule="auto"/>
              <w:jc w:val="right"/>
            </w:pPr>
            <w:r>
              <w:rPr>
                <w:rFonts w:ascii="Calibri" w:hAnsi="Calibri" w:eastAsia="Calibri"/>
                <w:b/>
                <w:color w:val="6B7A8F"/>
                <w:sz w:val="16"/>
              </w:rPr>
              <w:t>2017 - 2019</w:t>
            </w:r>
          </w:p>
        </w:tc>
      </w:tr>
    </w:tbl>
    <w:p>
      <w:pPr>
        <w:spacing w:after="80"/>
      </w:pPr>
    </w:p>
    <w:p>
      <w:pPr>
        <w:spacing w:before="280" w:after="160"/>
        <w:pBdr>
          <w:bottom w:val="single" w:sz="18" w:space="6" w:color="C5D9D3"/>
        </w:pBdr>
      </w:pPr>
      <w:r>
        <w:rPr>
          <w:rFonts w:ascii="Georgia" w:hAnsi="Georgia" w:eastAsia="Georgia"/>
          <w:b/>
          <w:color w:val="0A4F44"/>
          <w:sz w:val="20"/>
        </w:rPr>
        <w:t>CORE COMPETENCIES</w:t>
      </w:r>
    </w:p>
    <w:p>
      <w:pPr>
        <w:spacing w:after="80" w:line="324" w:lineRule="auto"/>
      </w:pPr>
      <w:r>
        <w:rPr>
          <w:rFonts w:ascii="Calibri" w:hAnsi="Calibri" w:eastAsia="Calibri"/>
          <w:b/>
          <w:color w:val="0A4F44"/>
          <w:sz w:val="17"/>
        </w:rPr>
        <w:t>Global HR / People Ops</w:t>
      </w:r>
      <w:r>
        <w:rPr>
          <w:rFonts w:ascii="Calibri" w:hAnsi="Calibri" w:eastAsia="Calibri"/>
          <w:b w:val="0"/>
          <w:color w:val="6B7A8F"/>
          <w:sz w:val="17"/>
        </w:rPr>
        <w:t xml:space="preserve">   ·   </w:t>
      </w:r>
      <w:r>
        <w:rPr>
          <w:rFonts w:ascii="Calibri" w:hAnsi="Calibri" w:eastAsia="Calibri"/>
          <w:b/>
          <w:color w:val="0A4F44"/>
          <w:sz w:val="17"/>
        </w:rPr>
        <w:t>Multi-country Employment (10)</w:t>
      </w:r>
      <w:r>
        <w:rPr>
          <w:rFonts w:ascii="Calibri" w:hAnsi="Calibri" w:eastAsia="Calibri"/>
          <w:b w:val="0"/>
          <w:color w:val="6B7A8F"/>
          <w:sz w:val="17"/>
        </w:rPr>
        <w:t xml:space="preserve">   ·   </w:t>
      </w:r>
      <w:r>
        <w:rPr>
          <w:rFonts w:ascii="Calibri" w:hAnsi="Calibri" w:eastAsia="Calibri"/>
          <w:b/>
          <w:color w:val="0A4F44"/>
          <w:sz w:val="17"/>
        </w:rPr>
        <w:t>Deel Administration</w:t>
      </w:r>
      <w:r>
        <w:rPr>
          <w:rFonts w:ascii="Calibri" w:hAnsi="Calibri" w:eastAsia="Calibri"/>
          <w:b w:val="0"/>
          <w:color w:val="6B7A8F"/>
          <w:sz w:val="17"/>
        </w:rPr>
        <w:t xml:space="preserve">   ·   </w:t>
      </w:r>
      <w:r>
        <w:rPr>
          <w:rFonts w:ascii="Calibri" w:hAnsi="Calibri" w:eastAsia="Calibri"/>
          <w:b/>
          <w:color w:val="0A4F44"/>
          <w:sz w:val="17"/>
        </w:rPr>
        <w:t>HR Data Audit</w:t>
      </w:r>
      <w:r>
        <w:rPr>
          <w:rFonts w:ascii="Calibri" w:hAnsi="Calibri" w:eastAsia="Calibri"/>
          <w:b w:val="0"/>
          <w:color w:val="6B7A8F"/>
          <w:sz w:val="17"/>
        </w:rPr>
        <w:t xml:space="preserve">   ·   </w:t>
      </w:r>
      <w:r>
        <w:rPr>
          <w:rFonts w:ascii="Calibri" w:hAnsi="Calibri" w:eastAsia="Calibri"/>
          <w:b/>
          <w:color w:val="0A4F44"/>
          <w:sz w:val="17"/>
        </w:rPr>
        <w:t>Leave Policy</w:t>
      </w:r>
      <w:r>
        <w:rPr>
          <w:rFonts w:ascii="Calibri" w:hAnsi="Calibri" w:eastAsia="Calibri"/>
          <w:b w:val="0"/>
          <w:color w:val="6B7A8F"/>
          <w:sz w:val="17"/>
        </w:rPr>
        <w:t xml:space="preserve">   ·   </w:t>
      </w:r>
      <w:r>
        <w:rPr>
          <w:rFonts w:ascii="Calibri" w:hAnsi="Calibri" w:eastAsia="Calibri"/>
          <w:b/>
          <w:color w:val="0A4F44"/>
          <w:sz w:val="17"/>
        </w:rPr>
        <w:t>Payroll, Expenses &amp; Financial Reporting</w:t>
      </w:r>
      <w:r>
        <w:rPr>
          <w:rFonts w:ascii="Calibri" w:hAnsi="Calibri" w:eastAsia="Calibri"/>
          <w:b w:val="0"/>
          <w:color w:val="6B7A8F"/>
          <w:sz w:val="17"/>
        </w:rPr>
        <w:t xml:space="preserve">   ·   </w:t>
      </w:r>
      <w:r>
        <w:rPr>
          <w:rFonts w:ascii="Calibri" w:hAnsi="Calibri" w:eastAsia="Calibri"/>
          <w:b/>
          <w:color w:val="0A4F44"/>
          <w:sz w:val="17"/>
        </w:rPr>
        <w:t>Corporate Insurance</w:t>
      </w:r>
      <w:r>
        <w:rPr>
          <w:rFonts w:ascii="Calibri" w:hAnsi="Calibri" w:eastAsia="Calibri"/>
          <w:b w:val="0"/>
          <w:color w:val="6B7A8F"/>
          <w:sz w:val="17"/>
        </w:rPr>
        <w:t xml:space="preserve">   ·   </w:t>
      </w:r>
      <w:r>
        <w:rPr>
          <w:rFonts w:ascii="Calibri" w:hAnsi="Calibri" w:eastAsia="Calibri"/>
          <w:b/>
          <w:color w:val="0A4F44"/>
          <w:sz w:val="17"/>
        </w:rPr>
        <w:t>Office / Facilities</w:t>
      </w:r>
      <w:r>
        <w:rPr>
          <w:rFonts w:ascii="Calibri" w:hAnsi="Calibri" w:eastAsia="Calibri"/>
          <w:b w:val="0"/>
          <w:color w:val="6B7A8F"/>
          <w:sz w:val="17"/>
        </w:rPr>
        <w:t xml:space="preserve">   ·   </w:t>
      </w:r>
      <w:r>
        <w:rPr>
          <w:rFonts w:ascii="Calibri" w:hAnsi="Calibri" w:eastAsia="Calibri"/>
          <w:b/>
          <w:color w:val="0A4F44"/>
          <w:sz w:val="17"/>
        </w:rPr>
        <w:t>Board / Subsidiary Docs</w:t>
      </w:r>
      <w:r>
        <w:rPr>
          <w:rFonts w:ascii="Calibri" w:hAnsi="Calibri" w:eastAsia="Calibri"/>
          <w:b w:val="0"/>
          <w:color w:val="6B7A8F"/>
          <w:sz w:val="17"/>
        </w:rPr>
        <w:t xml:space="preserve">   ·   </w:t>
      </w:r>
      <w:r>
        <w:rPr>
          <w:rFonts w:ascii="Calibri" w:hAnsi="Calibri" w:eastAsia="Calibri"/>
          <w:b/>
          <w:color w:val="0A4F44"/>
          <w:sz w:val="17"/>
        </w:rPr>
        <w:t>Tax &amp; Accounting Liaison</w:t>
      </w:r>
      <w:r>
        <w:rPr>
          <w:rFonts w:ascii="Calibri" w:hAnsi="Calibri" w:eastAsia="Calibri"/>
          <w:b w:val="0"/>
          <w:color w:val="6B7A8F"/>
          <w:sz w:val="17"/>
        </w:rPr>
        <w:t xml:space="preserve">   ·   </w:t>
      </w:r>
      <w:r>
        <w:rPr>
          <w:rFonts w:ascii="Calibri" w:hAnsi="Calibri" w:eastAsia="Calibri"/>
          <w:b/>
          <w:color w:val="0A4F44"/>
          <w:sz w:val="17"/>
        </w:rPr>
        <w:t>Contractor Management</w:t>
      </w:r>
      <w:r>
        <w:rPr>
          <w:rFonts w:ascii="Calibri" w:hAnsi="Calibri" w:eastAsia="Calibri"/>
          <w:b w:val="0"/>
          <w:color w:val="6B7A8F"/>
          <w:sz w:val="17"/>
        </w:rPr>
        <w:t xml:space="preserve">   ·   </w:t>
      </w:r>
      <w:r>
        <w:rPr>
          <w:rFonts w:ascii="Calibri" w:hAnsi="Calibri" w:eastAsia="Calibri"/>
          <w:b/>
          <w:color w:val="0A4F44"/>
          <w:sz w:val="17"/>
        </w:rPr>
        <w:t>Recruitment Coordination</w:t>
      </w:r>
      <w:r>
        <w:rPr>
          <w:rFonts w:ascii="Calibri" w:hAnsi="Calibri" w:eastAsia="Calibri"/>
          <w:b w:val="0"/>
          <w:color w:val="6B7A8F"/>
          <w:sz w:val="17"/>
        </w:rPr>
        <w:t xml:space="preserve">   ·   </w:t>
      </w:r>
      <w:r>
        <w:rPr>
          <w:rFonts w:ascii="Calibri" w:hAnsi="Calibri" w:eastAsia="Calibri"/>
          <w:b/>
          <w:color w:val="0A4F44"/>
          <w:sz w:val="17"/>
        </w:rPr>
        <w:t>Post-acquisition Ops</w:t>
      </w:r>
    </w:p>
    <w:p>
      <w:pPr>
        <w:spacing w:before="280" w:after="160"/>
        <w:pBdr>
          <w:bottom w:val="single" w:sz="18" w:space="6" w:color="C5D9D3"/>
        </w:pBdr>
      </w:pPr>
      <w:r>
        <w:rPr>
          <w:rFonts w:ascii="Georgia" w:hAnsi="Georgia" w:eastAsia="Georgia"/>
          <w:b/>
          <w:color w:val="0A4F44"/>
          <w:sz w:val="20"/>
        </w:rPr>
        <w:t>TOOLS &amp; LANGUAGES</w:t>
      </w:r>
    </w:p>
    <w:p>
      <w:pPr>
        <w:spacing w:after="40"/>
      </w:pPr>
      <w:r>
        <w:rPr>
          <w:rFonts w:ascii="Calibri" w:hAnsi="Calibri" w:eastAsia="Calibri"/>
          <w:b/>
          <w:color w:val="1A2332"/>
          <w:sz w:val="19"/>
        </w:rPr>
        <w:t xml:space="preserve">Platforms  </w:t>
      </w:r>
      <w:r>
        <w:rPr>
          <w:rFonts w:ascii="Calibri" w:hAnsi="Calibri" w:eastAsia="Calibri"/>
          <w:b w:val="0"/>
          <w:color w:val="3D4A5C"/>
          <w:sz w:val="19"/>
        </w:rPr>
        <w:t>Deel · MS Office / Google Workspace · Contract &amp; document workflows</w:t>
      </w:r>
    </w:p>
    <w:p>
      <w:pPr>
        <w:spacing w:after="40"/>
      </w:pPr>
      <w:r>
        <w:rPr>
          <w:rFonts w:ascii="Calibri" w:hAnsi="Calibri" w:eastAsia="Calibri"/>
          <w:b/>
          <w:color w:val="1A2332"/>
          <w:sz w:val="19"/>
        </w:rPr>
        <w:t xml:space="preserve">Languages  </w:t>
      </w:r>
      <w:r>
        <w:rPr>
          <w:rFonts w:ascii="Calibri" w:hAnsi="Calibri" w:eastAsia="Calibri"/>
          <w:b w:val="0"/>
          <w:color w:val="3D4A5C"/>
          <w:sz w:val="19"/>
        </w:rPr>
        <w:t>Polish - Native · English - C1</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