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24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Level 1 is enough to opt in as a scout, report a property and invite a landlord; withdrawing a reward needs the further verification for payouts: identity checked and a bank account confirmed in the scout's own name. For scout rewards only, every unit that can be rented and paid for counts as one property, so a building with four flats earns up to four rewards, one for the first rental of each flat. Invitations do not expire, so there is no invitation expiry setting. Every reward payout is approved by staff before it is paid. Replaces decision 70 in part (the invitation expiry).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release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the referral reward (decisions 70 and 71) are built in Release 1, alongside the other Release 1 features: opting in as a scout, reporting vacant properties, inviting landlords, the referral record and the staff screens for referrals. The reward itself can only be paid once the completed rental fee and payouts exist (Release 2); until then each reward is recorded as waiting for a rental. Settles open point 17.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Screens to be designed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screens to be designed are fixed in docs/designs.md: 112 screens. The website does everything the app does, so it has every user screen, not only common pages. Phone app: the 87 screens for every user type (tenants, landlords, agents and scouts). Website: the same 87 user screens laid out for a wide screen, the 18 staff screens and 7 public pages, 112 in all. Desktop software: the 87 user screens and the 18 staff screens, 105 in all. That is 304 designs. Adding a building, taking photos of each part and recording the walkthrough video are done on site with the phone's camera and GPS (Specification Sections 5.3 and 6.2), so on the website and desktop those three screens send the user to the phone. The screen designs (Release 0, step 2c) are complete only when all 304 are approved. New screens are added to the list only by a recorded decision.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1.7,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1.1,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