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5875c"/>
          <w:sz w:val="56"/>
          <w:szCs w:val="56"/>
        </w:rPr>
        <w:drawing>
          <wp:inline distB="114300" distT="114300" distL="114300" distR="114300">
            <wp:extent cx="2928938" cy="101281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8938" cy="10128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color w:val="1f2937"/>
          <w:sz w:val="24"/>
          <w:szCs w:val="24"/>
          <w:rtl w:val="0"/>
        </w:rPr>
        <w:t xml:space="preserve">Documento 2: Arquitectura Técnica Detallada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36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Define frontend, backend, database, AI, integrations, authentication, deployment, QA, and scalability architecture.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Primary Stack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Next.js/React + TypeScript + Supabase + Tailwind + shadcn/ui + TanStack Query + OpenAI/AI layer.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Architecture Style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Modular monolith first, domain-oriented services, multi-tenant database, extensible integration layer.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AI 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Transversal AI service with permission-aware grounding, pgvector retrieval, and human-in-the-loop actions.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r w:rsidDel="00000000" w:rsidR="00000000" w:rsidRPr="00000000">
        <w:rPr>
          <w:rtl w:val="0"/>
        </w:rPr>
        <w:t xml:space="preserve">1. Technology Stack Recommendation</w:t>
      </w:r>
    </w:p>
    <w:tbl>
      <w:tblPr>
        <w:tblStyle w:val="Table2"/>
        <w:tblW w:w="10368.000000000002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3456"/>
        <w:gridCol w:w="3456"/>
        <w:gridCol w:w="3456"/>
        <w:tblGridChange w:id="0">
          <w:tblGrid>
            <w:gridCol w:w="3456"/>
            <w:gridCol w:w="3456"/>
            <w:gridCol w:w="3456"/>
          </w:tblGrid>
        </w:tblGridChange>
      </w:tblGrid>
      <w:tr>
        <w:trPr>
          <w:cantSplit w:val="0"/>
          <w:tblHeader w:val="0"/>
        </w:trPr>
        <w:tc>
          <w:tcPr>
            <w:shd w:fill="5a9a66" w:val="clear"/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a9a66" w:val="clear"/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Recommended Tooling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a9a66" w:val="clear"/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Next.js + React + TypeScript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Strong routing, React ecosystem, server/client components, scalable SaaS structure.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Styling/UI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Tailwind CSS + shadcn/ui + Lucide Icons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Fast, consistent, professional UI with accessible components.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Data Fetching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TanStack 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Caching, revalidation, optimistic updates, API state management.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Forms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React Hook Form + Zod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Reliable validation and type-safe forms for complex modules.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Zustand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Lightweight global state for UI/session/workspace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Backend/BaaS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Supabase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Postgres, Auth, Storage, Realtime, Edge Functions, RLS, pgvector.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OpenAI API + pgvector + AI service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Summaries, extraction, recommendations, semantic search, guided actions.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Charts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ECharts or Recharts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Dashboards, risk heatmaps, budget charts, project health visuals.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Process Maps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React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BPM maps, dependencies, traceability graph.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AG Grid or TanStack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Complex editable grids, filters, sorting, enterprise-like data views.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Calendar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FullCalendar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Meetings, key dates, schedule, recurring communication plan items.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Automation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Trigger.dev, n8n, Supabase cron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Scheduled jobs, notifications, integrations, sync flows.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Observability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Sentry + PostHog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Errors, performance, product analytics, user behavior.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Deployment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Vercel + Supabase Cloud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Simple deployment, scalable frontend, managed database/backend.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rPr/>
      </w:pPr>
      <w:r w:rsidDel="00000000" w:rsidR="00000000" w:rsidRPr="00000000">
        <w:rPr>
          <w:rtl w:val="0"/>
        </w:rPr>
        <w:t xml:space="preserve">2. High-Level Architecture</w:t>
      </w:r>
    </w:p>
    <w:tbl>
      <w:tblPr>
        <w:tblStyle w:val="Table3"/>
        <w:tblW w:w="10368.0" w:type="dxa"/>
        <w:jc w:val="left"/>
        <w:tblInd w:w="-115.0" w:type="dxa"/>
        <w:tblBorders>
          <w:top w:color="b8d8bd" w:space="0" w:sz="4" w:val="single"/>
          <w:left w:color="b8d8bd" w:space="0" w:sz="4" w:val="single"/>
          <w:bottom w:color="b8d8bd" w:space="0" w:sz="4" w:val="single"/>
          <w:right w:color="b8d8bd" w:space="0" w:sz="4" w:val="single"/>
          <w:insideH w:color="b8d8bd" w:space="0" w:sz="4" w:val="single"/>
          <w:insideV w:color="b8d8bd" w:space="0" w:sz="4" w:val="single"/>
        </w:tblBorders>
        <w:tblLayout w:type="fixed"/>
        <w:tblLook w:val="0400"/>
      </w:tblPr>
      <w:tblGrid>
        <w:gridCol w:w="10368"/>
        <w:tblGridChange w:id="0">
          <w:tblGrid>
            <w:gridCol w:w="10368"/>
          </w:tblGrid>
        </w:tblGridChange>
      </w:tblGrid>
      <w:tr>
        <w:trPr>
          <w:cantSplit w:val="0"/>
          <w:tblHeader w:val="0"/>
        </w:trPr>
        <w:tc>
          <w:tcPr>
            <w:shd w:fill="e9f4ea" w:val="clea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color w:val="588e5e"/>
                <w:sz w:val="20"/>
                <w:szCs w:val="20"/>
                <w:rtl w:val="0"/>
              </w:rPr>
              <w:t xml:space="preserve">Architecture Pattern: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Start as a modular SaaS application with domain-oriented services. Avoid over-engineering microservices early; keep clear service boundaries so modules can be extracted later if needed.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368.000000000002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3456"/>
        <w:gridCol w:w="3456"/>
        <w:gridCol w:w="3456"/>
        <w:tblGridChange w:id="0">
          <w:tblGrid>
            <w:gridCol w:w="3456"/>
            <w:gridCol w:w="3456"/>
            <w:gridCol w:w="3456"/>
          </w:tblGrid>
        </w:tblGridChange>
      </w:tblGrid>
      <w:tr>
        <w:trPr>
          <w:cantSplit w:val="0"/>
          <w:tblHeader w:val="0"/>
        </w:trPr>
        <w:tc>
          <w:tcPr>
            <w:shd w:fill="5a9a66" w:val="clear"/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a9a66" w:val="clear"/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a9a66" w:val="clear"/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Implementation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Presentation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UI screens, forms, dashboards, workflows, AI side panel.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Next.js App Router, React components, Tailwind, shadcn/ui.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Application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Business rules, module services, workflow orchestration, validation.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TypeScript services, Supabase client, server actions/API routes where needed.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Data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Relational data, file metadata, vector search, audit records.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Supabase Postgres, RLS, indexes, pgvector, Storage.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Integration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External systems such as email, Slack, Teams, ERP, Drive, SharePoint.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OAuth/API connectors, Edge Functions, scheduled sync, mapping tables.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AI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Context retrieval, summarization, classification, recommendations, structured actions.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AI service, prompts, embeddings, pgvector, ai_runs, ai_recommendations.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Automation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Notifications, recurring jobs, syncs, escalations.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Trigger.dev/n8n/Supabase cron + notification rules.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rPr/>
      </w:pPr>
      <w:r w:rsidDel="00000000" w:rsidR="00000000" w:rsidRPr="00000000">
        <w:rPr>
          <w:rtl w:val="0"/>
        </w:rPr>
        <w:t xml:space="preserve">3. Frontend Architecture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Recommended Next.js route structure: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/app</w:t>
        <w:br w:type="textWrapping"/>
        <w:t xml:space="preserve">  /dashboard</w:t>
        <w:br w:type="textWrapping"/>
        <w:t xml:space="preserve">  /portfolio</w:t>
        <w:br w:type="textWrapping"/>
        <w:t xml:space="preserve">  /projects</w:t>
        <w:br w:type="textWrapping"/>
        <w:t xml:space="preserve">    /[projectId]</w:t>
        <w:br w:type="textWrapping"/>
        <w:t xml:space="preserve">      /overview</w:t>
        <w:br w:type="textWrapping"/>
        <w:t xml:space="preserve">      /charter</w:t>
        <w:br w:type="textWrapping"/>
        <w:t xml:space="preserve">      /stakeholders</w:t>
        <w:br w:type="textWrapping"/>
        <w:t xml:space="preserve">      /communications</w:t>
        <w:br w:type="textWrapping"/>
        <w:t xml:space="preserve">      /meetings</w:t>
        <w:br w:type="textWrapping"/>
        <w:t xml:space="preserve">      /documents</w:t>
        <w:br w:type="textWrapping"/>
        <w:t xml:space="preserve">      /changes</w:t>
        <w:br w:type="textWrapping"/>
        <w:t xml:space="preserve">      /tasks</w:t>
        <w:br w:type="textWrapping"/>
        <w:t xml:space="preserve">      /budget</w:t>
        <w:br w:type="textWrapping"/>
        <w:t xml:space="preserve">      /risks</w:t>
        <w:br w:type="textWrapping"/>
        <w:t xml:space="preserve">      /issues</w:t>
        <w:br w:type="textWrapping"/>
        <w:t xml:space="preserve">      /processes</w:t>
        <w:br w:type="textWrapping"/>
        <w:t xml:space="preserve">      /materials</w:t>
        <w:br w:type="textWrapping"/>
        <w:t xml:space="preserve">      /reports</w:t>
        <w:br w:type="textWrapping"/>
        <w:t xml:space="preserve">  /integrations</w:t>
        <w:br w:type="textWrapping"/>
        <w:t xml:space="preserve">  /admin</w:t>
        <w:br w:type="textWrapping"/>
        <w:t xml:space="preserve">  /settings</w:t>
      </w:r>
      <w:r w:rsidDel="00000000" w:rsidR="00000000" w:rsidRPr="00000000">
        <w:rPr>
          <w:rtl w:val="0"/>
        </w:rPr>
      </w:r>
    </w:p>
    <w:tbl>
      <w:tblPr>
        <w:tblStyle w:val="Table5"/>
        <w:tblW w:w="1036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shd w:fill="5a9a66" w:val="clear"/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Frontend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a9a66" w:val="clear"/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Technical Design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Reusable Layouts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App shell, project sidebar, PMO layout, settings layout, module header, breadcrumbs.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Data Tables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Reusable grid with filters, saved views, bulk actions, CSV export, inline edit where safe.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AI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Global AI side panel, contextual AI buttons, inline insight cards, confirmation modals for actions.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Forms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React Hook Form + Zod schemas per domain. Shared field components and validation messages.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Dashboards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Configurable card/chart framework with KPI definitions and drill-down navigation.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Access-aware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Component-level permission checks; hide or disable restricted actions.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rPr/>
      </w:pPr>
      <w:r w:rsidDel="00000000" w:rsidR="00000000" w:rsidRPr="00000000">
        <w:rPr>
          <w:rtl w:val="0"/>
        </w:rPr>
        <w:t xml:space="preserve">4. Backend / Supabase Architecture</w:t>
      </w:r>
    </w:p>
    <w:tbl>
      <w:tblPr>
        <w:tblStyle w:val="Table6"/>
        <w:tblW w:w="1036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shd w:fill="5a9a66" w:val="clear"/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Backend 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a9a66" w:val="clear"/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Implementation 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Supabase 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Email/password, magic link, OAuth providers later. Profiles stored in user_profiles.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Postgres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Normalized domain tables with organization_id for multi-tenancy and indexed foreign keys.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RLS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Policies enforce organization membership, project membership, role permission, and sensitive object restrictions.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Project documents stored by organization/project/document path. Metadata remains in documents/document_versions.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Edge Functions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AI calls, integrations, imports, secure server-side operations, webhook handlers.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Realtime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Optional live updates for tasks, comments, notifications, and approvals.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Migrations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Versioned SQL migration scripts managed in repository.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rPr/>
      </w:pPr>
      <w:r w:rsidDel="00000000" w:rsidR="00000000" w:rsidRPr="00000000">
        <w:rPr>
          <w:rtl w:val="0"/>
        </w:rPr>
        <w:t xml:space="preserve">5. AI Architecture</w:t>
      </w:r>
    </w:p>
    <w:tbl>
      <w:tblPr>
        <w:tblStyle w:val="Table7"/>
        <w:tblW w:w="10368.000000000002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3456"/>
        <w:gridCol w:w="3456"/>
        <w:gridCol w:w="3456"/>
        <w:tblGridChange w:id="0">
          <w:tblGrid>
            <w:gridCol w:w="3456"/>
            <w:gridCol w:w="3456"/>
            <w:gridCol w:w="3456"/>
          </w:tblGrid>
        </w:tblGridChange>
      </w:tblGrid>
      <w:tr>
        <w:trPr>
          <w:cantSplit w:val="0"/>
          <w:tblHeader w:val="0"/>
        </w:trPr>
        <w:tc>
          <w:tcPr>
            <w:shd w:fill="5a9a66" w:val="clear"/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AI 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a9a66" w:val="clear"/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a9a66" w:val="clear"/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Technical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AI Service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Central interface used by all modules.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Exposes summarize, extract, classify, recommend, draft, askProject, createSuggestion.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Context Builder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Builds module-specific prompts with relevant project data.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Always filters by organization_id, project_id, and user permissions.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Vector Retrieval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Finds relevant documents, decisions, meetings, and communications.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Uses pgvector embeddings stored in knowledge_chunks.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Prompt Registry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Stores prompt templates/versioning by task.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ai_prompts table with module, version, input schema, output schema.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AI Run 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Audits every AI request and output.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ai_runs records model, user, module, input summary, output, tokens, latency.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Recommendation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Stores AI suggestions requiring user review.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ai_recommendations with status: proposed, accepted, rejected, implemented.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Human-in-the-loop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Prevents AI from executing critical changes without confirmation.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Required for changes, approvals, budget updates, external communications, ERP sync edits.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rPr/>
      </w:pPr>
      <w:r w:rsidDel="00000000" w:rsidR="00000000" w:rsidRPr="00000000">
        <w:rPr>
          <w:rtl w:val="0"/>
        </w:rPr>
        <w:t xml:space="preserve">6. Integration Architecture</w:t>
      </w:r>
    </w:p>
    <w:tbl>
      <w:tblPr>
        <w:tblStyle w:val="Table8"/>
        <w:tblW w:w="10368.000000000002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3456"/>
        <w:gridCol w:w="3456"/>
        <w:gridCol w:w="3456"/>
        <w:tblGridChange w:id="0">
          <w:tblGrid>
            <w:gridCol w:w="3456"/>
            <w:gridCol w:w="3456"/>
            <w:gridCol w:w="3456"/>
          </w:tblGrid>
        </w:tblGridChange>
      </w:tblGrid>
      <w:tr>
        <w:trPr>
          <w:cantSplit w:val="0"/>
          <w:tblHeader w:val="0"/>
        </w:trPr>
        <w:tc>
          <w:tcPr>
            <w:shd w:fill="5a9a66" w:val="clear"/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Integration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a9a66" w:val="clear"/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MVP Approach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a9a66" w:val="clear"/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Future Approach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CSV/Excel Import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Manual upload with mapping screen and validation.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Saved mappings, scheduled imports, AI auto-mapping.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Gmail/Outlook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Later MVP: selected email import and linking.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Thread sync, metadata, summaries, action extraction.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Slack/Teams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Manual link initially.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Channel/message ingestion with scoped permissions.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Google Drive/SharePoint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Document URL references initially.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File picker, metadata sync, version/status references.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ERP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Generic import mappings for budget/materials.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API/database connectors, scheduled sync, webhooks.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rPr/>
      </w:pPr>
      <w:r w:rsidDel="00000000" w:rsidR="00000000" w:rsidRPr="00000000">
        <w:rPr>
          <w:rtl w:val="0"/>
        </w:rPr>
        <w:t xml:space="preserve">7. Authentication and Authorization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Use Supabase Auth for identity and sessions.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Store organization membership and role assignments in organization_users.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Use roles and permissions tables to drive UI and backend access.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Apply RLS policies on every tenant-scoped table.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Use project_members for project-specific access where needed.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Apply document-level access rules for sensitive files and communication evidence.</w:t>
      </w:r>
    </w:p>
    <w:p w:rsidR="00000000" w:rsidDel="00000000" w:rsidP="00000000" w:rsidRDefault="00000000" w:rsidRPr="00000000" w14:paraId="000000AE">
      <w:pPr>
        <w:pStyle w:val="Heading1"/>
        <w:rPr/>
      </w:pPr>
      <w:r w:rsidDel="00000000" w:rsidR="00000000" w:rsidRPr="00000000">
        <w:rPr>
          <w:rtl w:val="0"/>
        </w:rPr>
        <w:t xml:space="preserve">8. Deployment, QA, and Environments</w:t>
      </w:r>
    </w:p>
    <w:tbl>
      <w:tblPr>
        <w:tblStyle w:val="Table9"/>
        <w:tblW w:w="1036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shd w:fill="5a9a66" w:val="clear"/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a9a66" w:val="clear"/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Recommendation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Environments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local, development, staging, production.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CI/CD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GitHub Actions or Vercel pipeline with lint, typecheck, unit tests, build, migration checks.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Vitest/Jest for unit tests, Playwright for E2E, RLS policy tests, integration tests for imports and AI actions.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Sentry for exceptions, PostHog for analytics, Supabase logs for backend and database.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Backups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Supabase managed backups plus export strategy for enterprise clients.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Indexes, materialized views for dashboards, async jobs for imports/AI, eventual queue system for heavy workloads.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rPr/>
      </w:pPr>
      <w:r w:rsidDel="00000000" w:rsidR="00000000" w:rsidRPr="00000000">
        <w:rPr>
          <w:rtl w:val="0"/>
        </w:rPr>
        <w:t xml:space="preserve">9. Technical Delivery Roadmap</w:t>
      </w:r>
    </w:p>
    <w:tbl>
      <w:tblPr>
        <w:tblStyle w:val="Table10"/>
        <w:tblW w:w="1036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shd w:fill="5a9a66" w:val="clear"/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a9a66" w:val="clear"/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Technical Scope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Phase 1 - Foundation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Auth, organizations, projects, charter, stakeholders, communication plan, tasks, risks, documents, basic AI.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Phase 2 - Project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Meetings, decision log, issues, change control, budget, notifications, dashboards.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Phase 3 - Operations Intelligence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BPM, materials/inventory, semantic search, advanced AI extraction.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Phase 4 - Integrations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Gmail/Outlook, Slack/Teams, Drive/SharePoint, ERP imports/sync.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4ea" w:val="clear"/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Phase 5 - Enterprise PMO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Portfolio optimization, advanced security, audit, enterprise reports, scalable AI workflows.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rPr/>
      </w:pPr>
      <w:r w:rsidDel="00000000" w:rsidR="00000000" w:rsidRPr="00000000">
        <w:rPr>
          <w:rtl w:val="0"/>
        </w:rPr>
        <w:t xml:space="preserve">Anexo: Multilingual Support / i18n Spanish-English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ProjectOps360° debe diseñarse como una plataforma bilingüe desde el inicio, usando i18n (internationalization) como estándar de arquitectura. El sistema debe soportar español e inglés en la interfaz, reportes, documentos, notificaciones, comunicaciones, plantillas y salidas generadas por IA.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Nota de nomenclatura: el término técnico correcto es i18n, abreviatura de internationalization. En el producto se puede mostrar como Multilingual Support para usuarios no técnicos.</w:t>
      </w:r>
    </w:p>
    <w:p w:rsidR="00000000" w:rsidDel="00000000" w:rsidP="00000000" w:rsidRDefault="00000000" w:rsidRPr="00000000" w14:paraId="000000D0">
      <w:pPr>
        <w:pStyle w:val="Heading2"/>
        <w:rPr/>
      </w:pPr>
      <w:r w:rsidDel="00000000" w:rsidR="00000000" w:rsidRPr="00000000">
        <w:rPr>
          <w:rtl w:val="0"/>
        </w:rPr>
        <w:t xml:space="preserve">Arquitectura i18n recomendada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Usar Next.js + TypeScript con una librería i18n como next-intl.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Mantener archivos de traducción por namespace: common, navigation, projects, tasks, risks, communications, documents, reports, ai.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Usar códigos ISO de idioma: en y es.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Configurar middleware para resolver idioma por prioridad: user preference, project language, organization default, browser locale, fallback English.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Centralizar traducciones de estados y catálogos para evitar valores hardcoded en la UI.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Usar Intl.DateTimeFormat, Intl.NumberFormat e Intl.RelativeTimeFormat para fechas, números, porcentajes y monedas.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Pasar output_language e input_language a todos los servicios de IA.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Diseñar los prompts de IA con instrucciones explícitas de idioma, tono y terminología profesional.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Evitar guardar etiquetas traducidas como valores principales de negocio; guardar códigos estables y traducir en presentación.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Crear pruebas E2E básicas para validar pantallas críticas en en y es.</w:t>
      </w:r>
    </w:p>
    <w:p w:rsidR="00000000" w:rsidDel="00000000" w:rsidP="00000000" w:rsidRDefault="00000000" w:rsidRPr="00000000" w14:paraId="000000DB">
      <w:pPr>
        <w:pStyle w:val="Heading2"/>
        <w:rPr/>
      </w:pPr>
      <w:r w:rsidDel="00000000" w:rsidR="00000000" w:rsidRPr="00000000">
        <w:rPr>
          <w:rtl w:val="0"/>
        </w:rPr>
        <w:t xml:space="preserve">Estructura sugerida de archivos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Ejemplo de estructura para traducciones: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/messages</w:t>
        <w:br w:type="textWrapping"/>
        <w:t xml:space="preserve">  /en</w:t>
        <w:br w:type="textWrapping"/>
        <w:t xml:space="preserve">    common.json</w:t>
        <w:br w:type="textWrapping"/>
        <w:t xml:space="preserve">    navigation.json</w:t>
        <w:br w:type="textWrapping"/>
        <w:t xml:space="preserve">    projects.json</w:t>
        <w:br w:type="textWrapping"/>
        <w:t xml:space="preserve">    communications.json</w:t>
        <w:br w:type="textWrapping"/>
        <w:t xml:space="preserve">    reports.json</w:t>
        <w:br w:type="textWrapping"/>
        <w:t xml:space="preserve">  /es</w:t>
        <w:br w:type="textWrapping"/>
        <w:t xml:space="preserve">    common.json</w:t>
        <w:br w:type="textWrapping"/>
        <w:t xml:space="preserve">    navigation.json</w:t>
        <w:br w:type="textWrapping"/>
        <w:t xml:space="preserve">    projects.json</w:t>
        <w:br w:type="textWrapping"/>
        <w:t xml:space="preserve">    communications.json</w:t>
        <w:br w:type="textWrapping"/>
        <w:t xml:space="preserve">    reports.json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rPr/>
      </w:pPr>
      <w:r w:rsidDel="00000000" w:rsidR="00000000" w:rsidRPr="00000000">
        <w:rPr>
          <w:rtl w:val="0"/>
        </w:rPr>
        <w:t xml:space="preserve">AI e i18n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El AI Service debe recibir input_language, output_language, audience_language y terminology_mode.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Para stakeholders bilingües, la IA puede generar versiones paralelas de una comunicación.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Las traducciones de contenido crítico deben conservar significado, tono, fechas, montos, responsables y decisiones.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Para comunicaciones formales, la app debe mostrar vista previa antes de enviar.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Los resúmenes de documentos deben indicar el idioma original y el idioma de salida.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Decisión de diseño: i18n debe implementarse desde el MVP para evitar re-trabajo en UI, base de datos, AI prompts, reportes y plantillas.</w:t>
      </w:r>
    </w:p>
    <w:sectPr>
      <w:footerReference r:id="rId8" w:type="default"/>
      <w:pgSz w:h="15840" w:w="12240" w:orient="portrait"/>
      <w:pgMar w:bottom="792" w:top="792" w:left="936" w:right="93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757575"/>
        <w:sz w:val="16"/>
        <w:szCs w:val="16"/>
        <w:u w:val="none"/>
        <w:shd w:fill="auto" w:val="clear"/>
        <w:vertAlign w:val="baseline"/>
        <w:rtl w:val="0"/>
      </w:rPr>
      <w:t xml:space="preserve">ProjectOps360° | Detailed Engineering Documentation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19"/>
        <w:szCs w:val="19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Play" w:cs="Play" w:eastAsia="Play" w:hAnsi="Play"/>
      <w:b w:val="1"/>
      <w:bCs w:val="1"/>
      <w:color w:val="588e5e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Play" w:cs="Play" w:eastAsia="Play" w:hAnsi="Play"/>
      <w:b w:val="1"/>
      <w:bCs w:val="1"/>
      <w:color w:val="1f2937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Play" w:cs="Play" w:eastAsia="Play" w:hAnsi="Play"/>
      <w:b w:val="1"/>
      <w:bCs w:val="1"/>
      <w:color w:val="1f2937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diTcREyFmX7gaFiWsZfXoOuWyw==">CgMxLjA4AHIhMWVST19vZTdLMTZBRThUT0s0N29FRi05NC1fVUc3Vzho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