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Daily Business Report — Saturday 04 July 2026</w:t>
      </w:r>
    </w:p>
    <w:p>
      <w:r>
        <w:rPr>
          <w:sz w:val="18"/>
        </w:rPr>
        <w:t>O.R.I.O.N. executive brief — Saturday 04 July 2026, 19:04</w:t>
      </w:r>
    </w:p>
    <w:p>
      <w:pPr>
        <w:pStyle w:val="Heading1"/>
      </w:pPr>
      <w:r>
        <w:t>Executive summary</w:t>
      </w:r>
    </w:p>
    <w:p>
      <w:r>
        <w:t>• Attention items: Nothing pressing, sir. Your desk is clear.</w:t>
        <w:br/>
        <w:t>• Priority email: No priority email requires attention.</w:t>
        <w:br/>
        <w:t>• Pipeline: Campaign pipeline — 1 campaign(s), £1,500 in play, 48,000 total engagement:</w:t>
      </w:r>
    </w:p>
    <w:p>
      <w:pPr>
        <w:pStyle w:val="Heading1"/>
      </w:pPr>
      <w:r>
        <w:t>Attention items</w:t>
      </w:r>
    </w:p>
    <w:p>
      <w:r>
        <w:t>Nothing pressing, sir. Your desk is clear.</w:t>
      </w:r>
    </w:p>
    <w:p>
      <w:pPr>
        <w:pStyle w:val="Heading1"/>
      </w:pPr>
      <w:r>
        <w:t>Priority email</w:t>
      </w:r>
    </w:p>
    <w:p>
      <w:r>
        <w:t>No priority email requires attention.</w:t>
      </w:r>
    </w:p>
    <w:p>
      <w:pPr>
        <w:pStyle w:val="Heading1"/>
      </w:pPr>
      <w:r>
        <w:t>Pipeline</w:t>
      </w:r>
    </w:p>
    <w:p>
      <w:r>
        <w:t>Campaign pipeline — 1 campaign(s), £1,500 in play, 48,000 total engagement:</w:t>
        <w:br/>
        <w:t xml:space="preserve">  Negotiation: Hausables x BrandX (BrandX)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