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1A3C"/>
        </w:rPr>
        <w:t>Daily Business Report — Sunday 05 July 2026</w:t>
      </w:r>
    </w:p>
    <w:p>
      <w:r>
        <w:rPr>
          <w:sz w:val="18"/>
        </w:rPr>
        <w:t>O.R.I.O.N. executive brief — Sunday 05 July 2026, 20:15</w:t>
      </w:r>
    </w:p>
    <w:p>
      <w:pPr>
        <w:pStyle w:val="Heading1"/>
      </w:pPr>
      <w:r>
        <w:t>Executive summary</w:t>
      </w:r>
    </w:p>
    <w:p>
      <w:r>
        <w:t>• Attention items: Nothing pressing, sir. Your desk is clear.</w:t>
        <w:br/>
        <w:t>• Pipeline: Campaign pipeline — 1 campaign(s), £1,500 in play, 48,000 total engagement:</w:t>
      </w:r>
    </w:p>
    <w:p>
      <w:pPr>
        <w:pStyle w:val="Heading1"/>
      </w:pPr>
      <w:r>
        <w:t>Attention items</w:t>
      </w:r>
    </w:p>
    <w:p>
      <w:r>
        <w:t>Nothing pressing, sir. Your desk is clear.</w:t>
      </w:r>
    </w:p>
    <w:p>
      <w:pPr>
        <w:pStyle w:val="Heading1"/>
      </w:pPr>
      <w:r>
        <w:t>Pipeline</w:t>
      </w:r>
    </w:p>
    <w:p>
      <w:r>
        <w:t>Campaign pipeline — 1 campaign(s), £1,500 in play, 48,000 total engagement:</w:t>
        <w:br/>
        <w:t xml:space="preserve">  Negotiation: Hausables x BrandX (BrandX)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