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FF1A3C"/>
        </w:rPr>
        <w:t>Daily Business Report — Wednesday 08 July 2026</w:t>
      </w:r>
    </w:p>
    <w:p>
      <w:r>
        <w:rPr>
          <w:sz w:val="18"/>
        </w:rPr>
        <w:t>O.R.I.O.N. executive brief — Wednesday 08 July 2026, 22:48</w:t>
      </w:r>
    </w:p>
    <w:p>
      <w:pPr>
        <w:pStyle w:val="Heading1"/>
      </w:pPr>
      <w:r>
        <w:t>Executive summary</w:t>
      </w:r>
    </w:p>
    <w:p>
      <w:r>
        <w:t>Here is a 3-5 sentence executive summary for the 'Daily Business Report — Wednesday 08 July 2026':</w:t>
        <w:br/>
        <w:br/>
        <w:t>Attention is required to address the outstanding changes in the ORION Main repository, with 370 uncommitted changes that need review and integration. In terms of pipeline performance, our current campaign with BrandX has £1,500 invested and 48,000 total engagements, indicating a promising start but requiring ongoing monitoring. I recommend reviewing the campaign's progress and considering adjustments to optimise results. Additionally, please note that Hausables is engaged in negotiations with BrandX, which may impact future business developments.</w:t>
      </w:r>
    </w:p>
    <w:p>
      <w:pPr>
        <w:pStyle w:val="Heading1"/>
      </w:pPr>
      <w:r>
        <w:t>Attention items</w:t>
      </w:r>
    </w:p>
    <w:p>
      <w:r>
        <w:t>Proactive briefing — items for your attention:</w:t>
        <w:br/>
        <w:t>• Repository 'ORION Main' (HEAD) has 370 uncommitted change(s).</w:t>
      </w:r>
    </w:p>
    <w:p>
      <w:pPr>
        <w:pStyle w:val="Heading1"/>
      </w:pPr>
      <w:r>
        <w:t>Pipeline</w:t>
      </w:r>
    </w:p>
    <w:p>
      <w:r>
        <w:t>Campaign pipeline — 1 campaign(s), £1,500 in play, 48,000 total engagement:</w:t>
        <w:br/>
        <w:t xml:space="preserve">  Negotiation: Hausables x BrandX (BrandX)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