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highlight w:val="none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highlight w:val="none"/>
          <w:shd w:val="clear" w:fill="FFFFFF"/>
          <w:lang w:val="en-US" w:eastAsia="zh-CN" w:bidi="ar"/>
        </w:rPr>
        <w:t>Proverbs 3:6-7</w:t>
      </w: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(KJV)</w:t>
      </w: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- </w:t>
      </w: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  <w:r>
        <w:rPr>
          <w:rFonts w:hint="default" w:ascii="Helvetica Neue" w:hAnsi="Helvetica Neue" w:eastAsia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/>
        </w:rPr>
        <w:t>In all thy ways acknowledge him, And he shall direct thy paths.(7) - Be not wise in thine own eyes: Fear the LORD, and depart from evil.</w:t>
      </w: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shd w:val="clear" w:fill="FFFFFF"/>
          <w:lang w:val="en-US" w:eastAsia="zh-CN" w:bidi="ar"/>
        </w:rPr>
        <w:t>Psalm 33</w:t>
      </w: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shd w:val="clear" w:fill="FFFFFF"/>
          <w:lang w:val="en-US" w:eastAsia="zh-CN" w:bidi="ar"/>
        </w:rPr>
        <w:t>9 - 10</w:t>
      </w: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(KJV) 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- </w:t>
      </w: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  <w:r>
        <w:rPr>
          <w:rFonts w:hint="default" w:ascii="Helvetica Neue" w:hAnsi="Helvetica Neue" w:eastAsia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/>
        </w:rPr>
        <w:t>For he spake, and it was done; He commanded, and it stood fast. (10) - The LORD bringeth the counsel of the heathen to nought: He maketh the devices of the people of none effect</w:t>
      </w: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highlight w:val="none"/>
          <w:shd w:val="clear" w:fill="FFFFFF"/>
          <w:lang w:val="en-US" w:eastAsia="zh-CN"/>
        </w:rPr>
        <w:t xml:space="preserve">Isaiah 58:11 (AMP) </w:t>
      </w:r>
      <w:r>
        <w:rPr>
          <w:rFonts w:hint="default" w:ascii="Helvetica Neue" w:hAnsi="Helvetica Neue" w:eastAsia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/>
        </w:rPr>
        <w:t>- "And the Lord will continually guide you, And satisfy your soul in scorched and dry places, And give strength to your bones; And you will be like a watered garden, And like a spring of water whose waters do not fail.</w:t>
      </w: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shd w:val="clear" w:fill="FFFFFF"/>
          <w:lang w:val="en-US" w:eastAsia="zh-CN"/>
        </w:rPr>
        <w:t>Isaiah 12:4-5 (AMP</w:t>
      </w:r>
      <w:bookmarkStart w:id="0" w:name="_GoBack"/>
      <w:bookmarkEnd w:id="0"/>
      <w:r>
        <w:rPr>
          <w:rFonts w:hint="default" w:ascii="Helvetica Neue" w:hAnsi="Helvetica Neue" w:eastAsia="Helvetica Neue"/>
          <w:b/>
          <w:bCs/>
          <w:i w:val="0"/>
          <w:iCs w:val="0"/>
          <w:caps w:val="0"/>
          <w:color w:val="C55A11" w:themeColor="accent2" w:themeShade="BF"/>
          <w:spacing w:val="0"/>
          <w:kern w:val="0"/>
          <w:sz w:val="27"/>
          <w:szCs w:val="27"/>
          <w:shd w:val="clear" w:fill="FFFFFF"/>
          <w:lang w:val="en-US" w:eastAsia="zh-CN"/>
        </w:rPr>
        <w:t>)</w:t>
      </w:r>
      <w:r>
        <w:rPr>
          <w:rFonts w:hint="default" w:ascii="Helvetica Neue" w:hAnsi="Helvetica Neue" w:eastAsia="Helvetica Neue"/>
          <w:b/>
          <w:bCs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- “</w:t>
      </w:r>
      <w:r>
        <w:rPr>
          <w:rFonts w:hint="default" w:ascii="Helvetica Neue" w:hAnsi="Helvetica Neue" w:eastAsia="Helvetica Neue"/>
          <w:b/>
          <w:bCs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And in that day you will say, “Give thanks to the Lord, call on His name [in prayer]. Make His deeds known among the peoples [of the earth]; Proclaim [to them] that His name is exalted!” (5) - Sing praises to the Lord, for He has done excellent and glorious things;”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C1917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60C01"/>
    <w:rsid w:val="39F60C01"/>
    <w:rsid w:val="BCE6E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2023-08-14T11:45:00Z</dcterms:created>
  <dc:creator>Igboanugwo Collins</dc:creator>
  <cp:lastModifiedBy>Igboanugwo Collins</cp:lastModifiedBy>
  <dcterms:modified xsi:type="dcterms:W3CDTF">2023-08-14T12:09:03Z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