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Helvetica" w:hAnsi="Helvetica"/>
          <w:b/>
          <w:sz w:val="40"/>
        </w:rPr>
        <w:t>{!Invoice.PayeeMark}</w:t>
      </w:r>
    </w:p>
    <w:p>
      <w:pPr>
        <w:spacing w:after="360"/>
        <w:jc w:val="left"/>
      </w:pPr>
      <w:r>
        <w:rPr>
          <w:rFonts w:ascii="Helvetica" w:hAnsi="Helvetica"/>
          <w:b w:val="0"/>
          <w:sz w:val="18"/>
        </w:rPr>
        <w:t>{!Invoice.PayeeName}  ·  {!Invoice.PayeeDomain}</w:t>
      </w:r>
    </w:p>
    <w:p>
      <w:pPr>
        <w:spacing w:after="40"/>
        <w:jc w:val="left"/>
      </w:pPr>
      <w:r>
        <w:rPr>
          <w:rFonts w:ascii="Helvetica" w:hAnsi="Helvetica"/>
          <w:b/>
          <w:sz w:val="28"/>
        </w:rPr>
        <w:t>INVOICE {!Invoice.Number}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Billed to {!Invoice.CustomerName}</w:t>
      </w:r>
    </w:p>
    <w:p>
      <w:pPr>
        <w:spacing w:after="320"/>
        <w:jc w:val="left"/>
      </w:pPr>
      <w:r>
        <w:rPr>
          <w:rFonts w:ascii="Helvetica" w:hAnsi="Helvetica"/>
          <w:b w:val="0"/>
          <w:sz w:val="20"/>
        </w:rPr>
        <w:t>Issued {!$format(date(Invoice.IssuedOn), 'date', 'medium')}   ·   Payable by {!$format(date(Invoice.DueOn), 'date', 'medium')}</w:t>
      </w:r>
    </w:p>
    <w:p>
      <w:pPr>
        <w:spacing w:after="120"/>
        <w:jc w:val="left"/>
      </w:pPr>
      <w:r>
        <w:rPr>
          <w:rFonts w:ascii="Helvetica" w:hAnsi="Helvetica"/>
          <w:b/>
          <w:sz w:val="18"/>
        </w:rPr>
        <w:t>SERVICES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&lt;mdoc:repeater name="lines" value="{!Invoice.LineItems}" variable="item" mode="standard"&gt;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{!#item#.Description}    {!#item#.Quantity} x {!$format(toDecimal(#item#.UnitPrice), 'number', '#,###.00')}    {!$format(toDecimal(#item#.LineAmount), 'number', '#,###.00')}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&lt;/mdoc:repeater name="lines"&gt;</w:t>
      </w:r>
    </w:p>
    <w:p>
      <w:pPr>
        <w:spacing w:after="320"/>
        <w:jc w:val="right"/>
      </w:pPr>
      <w:r>
        <w:rPr>
          <w:rFonts w:ascii="Helvetica" w:hAnsi="Helvetica"/>
          <w:b/>
          <w:sz w:val="26"/>
        </w:rPr>
        <w:t>TOTAL DUE   {!Invoice.Currency} {!$format(sum(Invoice.LineItems, "LineAmount"), 'number', '#,###.00')}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PAY TO</w:t>
      </w:r>
    </w:p>
    <w:p>
      <w:pPr>
        <w:spacing w:after="40"/>
        <w:jc w:val="left"/>
      </w:pPr>
      <w:r>
        <w:rPr>
          <w:rFonts w:ascii="Courier New" w:hAnsi="Courier New"/>
          <w:b w:val="0"/>
          <w:sz w:val="20"/>
        </w:rPr>
        <w:t>Account name   {!Invoice.PayeeName}</w:t>
      </w:r>
    </w:p>
    <w:p>
      <w:pPr>
        <w:spacing w:after="40"/>
        <w:jc w:val="left"/>
      </w:pPr>
      <w:r>
        <w:rPr>
          <w:rFonts w:ascii="Courier New" w:hAnsi="Courier New"/>
          <w:b w:val="0"/>
          <w:sz w:val="20"/>
        </w:rPr>
        <w:t>IBAN           {!Invoice.Iban}</w:t>
      </w:r>
    </w:p>
    <w:p>
      <w:pPr>
        <w:spacing w:after="280"/>
        <w:jc w:val="left"/>
      </w:pPr>
      <w:r>
        <w:rPr>
          <w:rFonts w:ascii="Courier New" w:hAnsi="Courier New"/>
          <w:b w:val="0"/>
          <w:sz w:val="20"/>
        </w:rPr>
        <w:t>BIC            {!Invoice.Bic}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&lt;mdoc:paragraph name="large" hidden="{!$toDecimal(sum(Invoice.LineItems, "LineAmount")) &lt; 10000}"&gt;</w:t>
      </w:r>
    </w:p>
    <w:p>
      <w:pPr>
        <w:spacing w:after="40"/>
        <w:jc w:val="left"/>
      </w:pPr>
      <w:r>
        <w:rPr>
          <w:rFonts w:ascii="Helvetica" w:hAnsi="Helvetica"/>
          <w:b w:val="0"/>
          <w:sz w:val="18"/>
        </w:rPr>
        <w:t>This invoice exceeds 10,000. Confirm the account above against a previously trusted record before transferring. Northpost never changes bank details by email.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&lt;/mdoc:paragraph name="large"&gt;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PROOF OF ORIGIN</w:t>
      </w:r>
    </w:p>
    <w:p>
      <w:pPr>
        <w:spacing w:after="40"/>
        <w:jc w:val="left"/>
      </w:pPr>
      <w:r>
        <w:rPr>
          <w:rFonts w:ascii="Helvetica" w:hAnsi="Helvetica"/>
          <w:b w:val="0"/>
          <w:sz w:val="18"/>
        </w:rPr>
        <w:t>Verify at {!Invoice.SignetLocator}</w:t>
      </w:r>
    </w:p>
    <w:p>
      <w:pPr>
        <w:spacing w:after="40"/>
        <w:jc w:val="left"/>
      </w:pPr>
      <w:r>
        <w:rPr>
          <w:rFonts w:ascii="Courier New" w:hAnsi="Courier New"/>
          <w:b w:val="0"/>
          <w:sz w:val="12"/>
        </w:rPr>
        <w:t>{!Invoice.SignetMark}</w:t>
      </w:r>
    </w:p>
    <w:p>
      <w:pPr>
        <w:spacing w:after="520"/>
        <w:jc w:val="left"/>
      </w:pPr>
      <w:r>
        <w:rPr>
          <w:rFonts w:ascii="Helvetica" w:hAnsi="Helvetica"/>
          <w:b w:val="0"/>
          <w:sz w:val="16"/>
        </w:rPr>
        <w:t>The key is published at _signet.{!Invoice.PayeeDomain}. Check it with dig and openssl, without an account here.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PAYMENT TERMS</w:t>
      </w:r>
    </w:p>
    <w:p>
      <w:pPr>
        <w:spacing w:after="200"/>
        <w:jc w:val="left"/>
      </w:pPr>
      <w:r>
        <w:rPr>
          <w:rFonts w:ascii="Helvetica" w:hAnsi="Helvetica"/>
          <w:b w:val="0"/>
          <w:sz w:val="18"/>
        </w:rPr>
        <w:t>Net 30 days from the date of issue. Interest on overdue amounts accrues at 8 percent above base rate from the day after the due date.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REMITTANCE</w:t>
      </w:r>
    </w:p>
    <w:p>
      <w:pPr>
        <w:spacing w:after="200"/>
        <w:jc w:val="left"/>
      </w:pPr>
      <w:r>
        <w:rPr>
          <w:rFonts w:ascii="Helvetica" w:hAnsi="Helvetica"/>
          <w:b w:val="0"/>
          <w:sz w:val="18"/>
        </w:rPr>
        <w:t>Quote {!Invoice.Number} as the payment reference. Send remittance advice to accounts@{!Invoice.PayeeDomain}. Payments without a reference are held unallocated.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QUERIES</w:t>
      </w:r>
    </w:p>
    <w:p>
      <w:pPr>
        <w:spacing w:after="200"/>
        <w:jc w:val="left"/>
      </w:pPr>
      <w:r>
        <w:rPr>
          <w:rFonts w:ascii="Helvetica" w:hAnsi="Helvetica"/>
          <w:b w:val="0"/>
          <w:sz w:val="18"/>
        </w:rPr>
        <w:t>Raise any query within 14 days of the invoice date, quoting the invoice number. Bank details are never amended by email or telephone. A request to pay a different account is a fraud attempt and should be reported.</w:t>
      </w:r>
    </w:p>
    <w:p>
      <w:pPr>
        <w:spacing w:after="0"/>
        <w:jc w:val="left"/>
      </w:pPr>
      <w:r>
        <w:rPr>
          <w:rFonts w:ascii="Helvetica" w:hAnsi="Helvetica"/>
          <w:b w:val="0"/>
          <w:sz w:val="16"/>
        </w:rPr>
        <w:t>{!Invoice.PayeeName}  ·  {!Invoice.PayeeDomain}  ·  page 1 of 1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