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7852D" w14:textId="3C4A5CC4" w:rsidR="00F37115" w:rsidRPr="00EB2AAA" w:rsidRDefault="00611B50" w:rsidP="00A20661">
      <w:pPr>
        <w:pStyle w:val="NoSpacing"/>
        <w:jc w:val="center"/>
        <w:rPr>
          <w:b/>
          <w:sz w:val="32"/>
          <w:szCs w:val="32"/>
        </w:rPr>
      </w:pPr>
      <w:r w:rsidRPr="00EB2AAA">
        <w:rPr>
          <w:b/>
          <w:sz w:val="32"/>
          <w:szCs w:val="32"/>
        </w:rPr>
        <w:t>Greater Lowell</w:t>
      </w:r>
      <w:r w:rsidR="0003122E" w:rsidRPr="00EB2AAA">
        <w:rPr>
          <w:b/>
          <w:sz w:val="32"/>
          <w:szCs w:val="32"/>
        </w:rPr>
        <w:t xml:space="preserve"> Questions</w:t>
      </w:r>
      <w:r w:rsidR="002935D0" w:rsidRPr="00EB2AAA">
        <w:rPr>
          <w:b/>
          <w:sz w:val="32"/>
          <w:szCs w:val="32"/>
        </w:rPr>
        <w:t xml:space="preserve"> and Observations</w:t>
      </w:r>
      <w:r w:rsidR="00881F1B">
        <w:rPr>
          <w:b/>
          <w:sz w:val="32"/>
          <w:szCs w:val="32"/>
        </w:rPr>
        <w:t xml:space="preserve"> 1/4/16</w:t>
      </w:r>
    </w:p>
    <w:p w14:paraId="7ABCF82B" w14:textId="77777777" w:rsidR="00A20661" w:rsidRPr="002935D0" w:rsidRDefault="00A20661" w:rsidP="00A20661">
      <w:pPr>
        <w:pStyle w:val="NoSpacing"/>
        <w:jc w:val="center"/>
        <w:rPr>
          <w:b/>
        </w:rPr>
      </w:pPr>
    </w:p>
    <w:p w14:paraId="3E898E3F" w14:textId="1C4B6D8F" w:rsidR="00A20661" w:rsidRDefault="002935D0" w:rsidP="00197059">
      <w:pPr>
        <w:pStyle w:val="NoSpacing"/>
        <w:numPr>
          <w:ilvl w:val="0"/>
          <w:numId w:val="1"/>
        </w:numPr>
      </w:pPr>
      <w:r>
        <w:rPr>
          <w:b/>
        </w:rPr>
        <w:t xml:space="preserve">How many opioid </w:t>
      </w:r>
      <w:r w:rsidR="00A20661" w:rsidRPr="002935D0">
        <w:rPr>
          <w:b/>
        </w:rPr>
        <w:t xml:space="preserve">overdoses occurred in 2014 in the greater </w:t>
      </w:r>
      <w:r w:rsidR="00611B50">
        <w:rPr>
          <w:b/>
        </w:rPr>
        <w:t>Lowell</w:t>
      </w:r>
      <w:r w:rsidR="00A20661" w:rsidRPr="002935D0">
        <w:rPr>
          <w:b/>
        </w:rPr>
        <w:t xml:space="preserve"> area?</w:t>
      </w:r>
      <w:r w:rsidR="00CF773D">
        <w:t xml:space="preserve">  There were a total o</w:t>
      </w:r>
      <w:r w:rsidR="00EB2AAA">
        <w:t>f 1,231</w:t>
      </w:r>
      <w:r w:rsidR="0096480E">
        <w:t xml:space="preserve"> docum</w:t>
      </w:r>
      <w:r w:rsidR="00CF773D">
        <w:t xml:space="preserve">ented </w:t>
      </w:r>
      <w:r w:rsidR="00EB2AAA">
        <w:t xml:space="preserve">overdoses, </w:t>
      </w:r>
      <w:r w:rsidR="00CF773D">
        <w:t>33</w:t>
      </w:r>
      <w:r w:rsidR="0096480E">
        <w:t xml:space="preserve"> </w:t>
      </w:r>
      <w:r w:rsidR="00EB2AAA">
        <w:t xml:space="preserve">of which were </w:t>
      </w:r>
      <w:r w:rsidR="0096480E">
        <w:t>fatal</w:t>
      </w:r>
      <w:r w:rsidR="00EB2AAA">
        <w:t>,</w:t>
      </w:r>
      <w:r w:rsidR="0096480E">
        <w:t xml:space="preserve"> in the greater </w:t>
      </w:r>
      <w:r w:rsidR="00CF773D">
        <w:t>Lowell</w:t>
      </w:r>
      <w:r w:rsidR="0096480E">
        <w:t xml:space="preserve"> area in 2009.</w:t>
      </w:r>
      <w:r w:rsidR="00197059">
        <w:rPr>
          <w:rStyle w:val="FootnoteReference"/>
        </w:rPr>
        <w:footnoteReference w:id="1"/>
      </w:r>
      <w:r w:rsidR="0096480E">
        <w:t xml:space="preserve">  Using these numbers, we can estimate that the probability o</w:t>
      </w:r>
      <w:r w:rsidR="00EB2AAA">
        <w:t>f death given an overdose is 2.68</w:t>
      </w:r>
      <w:r w:rsidR="0096480E">
        <w:t>%.</w:t>
      </w:r>
      <w:r w:rsidR="007B69F2">
        <w:t xml:space="preserve">  We can also narrow down rates to towns, </w:t>
      </w:r>
      <w:r w:rsidR="00CB555D">
        <w:t xml:space="preserve">as shown in the following table.  </w:t>
      </w:r>
    </w:p>
    <w:p w14:paraId="4BBB33DB" w14:textId="77777777" w:rsidR="007B69F2" w:rsidRDefault="007B69F2" w:rsidP="007B69F2">
      <w:pPr>
        <w:pStyle w:val="NoSpacing"/>
      </w:pPr>
    </w:p>
    <w:tbl>
      <w:tblPr>
        <w:tblStyle w:val="TableGrid"/>
        <w:tblW w:w="5000" w:type="pct"/>
        <w:tblLook w:val="04A0" w:firstRow="1" w:lastRow="0" w:firstColumn="1" w:lastColumn="0" w:noHBand="0" w:noVBand="1"/>
      </w:tblPr>
      <w:tblGrid>
        <w:gridCol w:w="1401"/>
        <w:gridCol w:w="1357"/>
        <w:gridCol w:w="1382"/>
        <w:gridCol w:w="1731"/>
        <w:gridCol w:w="2985"/>
      </w:tblGrid>
      <w:tr w:rsidR="005C3D30" w14:paraId="3D682C72" w14:textId="77777777" w:rsidTr="005C3D30">
        <w:tc>
          <w:tcPr>
            <w:tcW w:w="612" w:type="pct"/>
          </w:tcPr>
          <w:p w14:paraId="24AA410C" w14:textId="21317A77" w:rsidR="005C3D30" w:rsidRPr="00EB2AAA" w:rsidRDefault="005C3D30" w:rsidP="007B69F2">
            <w:pPr>
              <w:pStyle w:val="NoSpacing"/>
              <w:rPr>
                <w:b/>
                <w:sz w:val="28"/>
                <w:szCs w:val="28"/>
              </w:rPr>
            </w:pPr>
            <w:r w:rsidRPr="00EB2AAA">
              <w:rPr>
                <w:b/>
                <w:sz w:val="28"/>
                <w:szCs w:val="28"/>
              </w:rPr>
              <w:t>City</w:t>
            </w:r>
          </w:p>
        </w:tc>
        <w:tc>
          <w:tcPr>
            <w:tcW w:w="811" w:type="pct"/>
          </w:tcPr>
          <w:p w14:paraId="328E2ED2" w14:textId="0233F95B" w:rsidR="005C3D30" w:rsidRPr="00EB2AAA" w:rsidRDefault="005C3D30" w:rsidP="007B69F2">
            <w:pPr>
              <w:pStyle w:val="NoSpacing"/>
              <w:rPr>
                <w:b/>
                <w:sz w:val="28"/>
                <w:szCs w:val="28"/>
              </w:rPr>
            </w:pPr>
            <w:r w:rsidRPr="00EB2AAA">
              <w:rPr>
                <w:b/>
                <w:sz w:val="28"/>
                <w:szCs w:val="28"/>
              </w:rPr>
              <w:t>2009 Deaths</w:t>
            </w:r>
          </w:p>
        </w:tc>
        <w:tc>
          <w:tcPr>
            <w:tcW w:w="825" w:type="pct"/>
          </w:tcPr>
          <w:p w14:paraId="6B4190A1" w14:textId="399D8ED8" w:rsidR="005C3D30" w:rsidRPr="00EB2AAA" w:rsidRDefault="005C3D30" w:rsidP="007B69F2">
            <w:pPr>
              <w:pStyle w:val="NoSpacing"/>
              <w:rPr>
                <w:b/>
                <w:sz w:val="28"/>
                <w:szCs w:val="28"/>
              </w:rPr>
            </w:pPr>
            <w:r>
              <w:rPr>
                <w:b/>
                <w:sz w:val="28"/>
                <w:szCs w:val="28"/>
              </w:rPr>
              <w:t>2014 Deaths</w:t>
            </w:r>
          </w:p>
        </w:tc>
        <w:tc>
          <w:tcPr>
            <w:tcW w:w="1022" w:type="pct"/>
          </w:tcPr>
          <w:p w14:paraId="13A6F061" w14:textId="6C393F62" w:rsidR="005C3D30" w:rsidRPr="00EB2AAA" w:rsidRDefault="005C3D30" w:rsidP="007B69F2">
            <w:pPr>
              <w:pStyle w:val="NoSpacing"/>
              <w:rPr>
                <w:b/>
                <w:sz w:val="28"/>
                <w:szCs w:val="28"/>
              </w:rPr>
            </w:pPr>
            <w:r w:rsidRPr="00EB2AAA">
              <w:rPr>
                <w:b/>
                <w:sz w:val="28"/>
                <w:szCs w:val="28"/>
              </w:rPr>
              <w:t>2009 Overdoses</w:t>
            </w:r>
          </w:p>
        </w:tc>
        <w:tc>
          <w:tcPr>
            <w:tcW w:w="1730" w:type="pct"/>
          </w:tcPr>
          <w:p w14:paraId="066074A9" w14:textId="68292311" w:rsidR="005C3D30" w:rsidRPr="00EB2AAA" w:rsidRDefault="005C3D30" w:rsidP="007B69F2">
            <w:pPr>
              <w:pStyle w:val="NoSpacing"/>
              <w:rPr>
                <w:b/>
                <w:sz w:val="28"/>
                <w:szCs w:val="28"/>
              </w:rPr>
            </w:pPr>
            <w:r w:rsidRPr="00EB2AAA">
              <w:rPr>
                <w:b/>
                <w:sz w:val="28"/>
                <w:szCs w:val="28"/>
              </w:rPr>
              <w:t>2009 OD Death Rate</w:t>
            </w:r>
          </w:p>
        </w:tc>
      </w:tr>
      <w:tr w:rsidR="005C3D30" w14:paraId="693CE67D" w14:textId="77777777" w:rsidTr="005C3D30">
        <w:tc>
          <w:tcPr>
            <w:tcW w:w="612" w:type="pct"/>
          </w:tcPr>
          <w:p w14:paraId="607DDBF7" w14:textId="59D88AD6" w:rsidR="005C3D30" w:rsidRDefault="005C3D30" w:rsidP="007B69F2">
            <w:pPr>
              <w:pStyle w:val="NoSpacing"/>
            </w:pPr>
            <w:r>
              <w:t>Lowell</w:t>
            </w:r>
          </w:p>
        </w:tc>
        <w:tc>
          <w:tcPr>
            <w:tcW w:w="811" w:type="pct"/>
          </w:tcPr>
          <w:p w14:paraId="576C88AB" w14:textId="21D885FC" w:rsidR="005C3D30" w:rsidRDefault="005C3D30" w:rsidP="007B69F2">
            <w:pPr>
              <w:pStyle w:val="NoSpacing"/>
            </w:pPr>
            <w:r>
              <w:t>20</w:t>
            </w:r>
          </w:p>
        </w:tc>
        <w:tc>
          <w:tcPr>
            <w:tcW w:w="825" w:type="pct"/>
          </w:tcPr>
          <w:p w14:paraId="0570A79B" w14:textId="6C7DC218" w:rsidR="005C3D30" w:rsidRDefault="005C3D30" w:rsidP="007B69F2">
            <w:pPr>
              <w:pStyle w:val="NoSpacing"/>
            </w:pPr>
            <w:r>
              <w:t>29</w:t>
            </w:r>
          </w:p>
        </w:tc>
        <w:tc>
          <w:tcPr>
            <w:tcW w:w="1022" w:type="pct"/>
          </w:tcPr>
          <w:p w14:paraId="79C3DE36" w14:textId="4D565E68" w:rsidR="005C3D30" w:rsidRDefault="005C3D30" w:rsidP="007B69F2">
            <w:pPr>
              <w:pStyle w:val="NoSpacing"/>
            </w:pPr>
            <w:r>
              <w:t>638</w:t>
            </w:r>
          </w:p>
        </w:tc>
        <w:tc>
          <w:tcPr>
            <w:tcW w:w="1730" w:type="pct"/>
          </w:tcPr>
          <w:p w14:paraId="6A30B281" w14:textId="176EF8F6" w:rsidR="005C3D30" w:rsidRDefault="005C3D30" w:rsidP="007B69F2">
            <w:pPr>
              <w:pStyle w:val="NoSpacing"/>
            </w:pPr>
            <w:r>
              <w:t>3.135%</w:t>
            </w:r>
          </w:p>
        </w:tc>
      </w:tr>
      <w:tr w:rsidR="005C3D30" w14:paraId="01ACDA6F" w14:textId="77777777" w:rsidTr="005C3D30">
        <w:tc>
          <w:tcPr>
            <w:tcW w:w="612" w:type="pct"/>
          </w:tcPr>
          <w:p w14:paraId="60632B44" w14:textId="07089E9A" w:rsidR="005C3D30" w:rsidRDefault="005C3D30" w:rsidP="007B69F2">
            <w:pPr>
              <w:pStyle w:val="NoSpacing"/>
            </w:pPr>
            <w:r>
              <w:t>Billerica</w:t>
            </w:r>
          </w:p>
        </w:tc>
        <w:tc>
          <w:tcPr>
            <w:tcW w:w="811" w:type="pct"/>
          </w:tcPr>
          <w:p w14:paraId="577FB215" w14:textId="0A98E579" w:rsidR="005C3D30" w:rsidRDefault="005C3D30" w:rsidP="007B69F2">
            <w:pPr>
              <w:pStyle w:val="NoSpacing"/>
            </w:pPr>
            <w:r>
              <w:t>5</w:t>
            </w:r>
          </w:p>
        </w:tc>
        <w:tc>
          <w:tcPr>
            <w:tcW w:w="825" w:type="pct"/>
          </w:tcPr>
          <w:p w14:paraId="5854AF79" w14:textId="2F8BF374" w:rsidR="005C3D30" w:rsidRDefault="005C3D30" w:rsidP="007B69F2">
            <w:pPr>
              <w:pStyle w:val="NoSpacing"/>
            </w:pPr>
            <w:r>
              <w:t>9</w:t>
            </w:r>
          </w:p>
        </w:tc>
        <w:tc>
          <w:tcPr>
            <w:tcW w:w="1022" w:type="pct"/>
          </w:tcPr>
          <w:p w14:paraId="58DFBC6C" w14:textId="4DDAA765" w:rsidR="005C3D30" w:rsidRDefault="005C3D30" w:rsidP="007B69F2">
            <w:pPr>
              <w:pStyle w:val="NoSpacing"/>
            </w:pPr>
            <w:r>
              <w:t>188</w:t>
            </w:r>
          </w:p>
        </w:tc>
        <w:tc>
          <w:tcPr>
            <w:tcW w:w="1730" w:type="pct"/>
          </w:tcPr>
          <w:p w14:paraId="1A4C718C" w14:textId="1751A40D" w:rsidR="005C3D30" w:rsidRDefault="005C3D30" w:rsidP="008A1649">
            <w:pPr>
              <w:pStyle w:val="NoSpacing"/>
            </w:pPr>
            <w:r>
              <w:t>2.660%</w:t>
            </w:r>
          </w:p>
        </w:tc>
      </w:tr>
      <w:tr w:rsidR="005C3D30" w14:paraId="0A83FE3B" w14:textId="77777777" w:rsidTr="005C3D30">
        <w:tc>
          <w:tcPr>
            <w:tcW w:w="612" w:type="pct"/>
          </w:tcPr>
          <w:p w14:paraId="5F448E3E" w14:textId="0C71EA01" w:rsidR="005C3D30" w:rsidRDefault="005C3D30" w:rsidP="007B69F2">
            <w:pPr>
              <w:pStyle w:val="NoSpacing"/>
            </w:pPr>
            <w:r>
              <w:t>Chelmsford</w:t>
            </w:r>
          </w:p>
        </w:tc>
        <w:tc>
          <w:tcPr>
            <w:tcW w:w="811" w:type="pct"/>
          </w:tcPr>
          <w:p w14:paraId="6411CA06" w14:textId="26A80D07" w:rsidR="005C3D30" w:rsidRDefault="005C3D30" w:rsidP="007B69F2">
            <w:pPr>
              <w:pStyle w:val="NoSpacing"/>
            </w:pPr>
            <w:r>
              <w:t>1</w:t>
            </w:r>
          </w:p>
        </w:tc>
        <w:tc>
          <w:tcPr>
            <w:tcW w:w="825" w:type="pct"/>
          </w:tcPr>
          <w:p w14:paraId="7F9B5710" w14:textId="27076FCD" w:rsidR="005C3D30" w:rsidRDefault="005C3D30" w:rsidP="007B69F2">
            <w:pPr>
              <w:pStyle w:val="NoSpacing"/>
            </w:pPr>
            <w:r>
              <w:t>3</w:t>
            </w:r>
          </w:p>
        </w:tc>
        <w:tc>
          <w:tcPr>
            <w:tcW w:w="1022" w:type="pct"/>
          </w:tcPr>
          <w:p w14:paraId="19802F6F" w14:textId="43DC905F" w:rsidR="005C3D30" w:rsidRDefault="005C3D30" w:rsidP="007B69F2">
            <w:pPr>
              <w:pStyle w:val="NoSpacing"/>
            </w:pPr>
            <w:r>
              <w:t>96</w:t>
            </w:r>
          </w:p>
        </w:tc>
        <w:tc>
          <w:tcPr>
            <w:tcW w:w="1730" w:type="pct"/>
          </w:tcPr>
          <w:p w14:paraId="65A87456" w14:textId="320F4BEC" w:rsidR="005C3D30" w:rsidRDefault="005C3D30" w:rsidP="007B69F2">
            <w:pPr>
              <w:pStyle w:val="NoSpacing"/>
            </w:pPr>
            <w:r>
              <w:t>1.042%</w:t>
            </w:r>
          </w:p>
        </w:tc>
      </w:tr>
      <w:tr w:rsidR="005C3D30" w14:paraId="47686C0D" w14:textId="77777777" w:rsidTr="005C3D30">
        <w:tc>
          <w:tcPr>
            <w:tcW w:w="612" w:type="pct"/>
          </w:tcPr>
          <w:p w14:paraId="04BCE1FF" w14:textId="4AF8E785" w:rsidR="005C3D30" w:rsidRDefault="005C3D30" w:rsidP="007B69F2">
            <w:pPr>
              <w:pStyle w:val="NoSpacing"/>
            </w:pPr>
            <w:r>
              <w:t>Dracut</w:t>
            </w:r>
          </w:p>
        </w:tc>
        <w:tc>
          <w:tcPr>
            <w:tcW w:w="811" w:type="pct"/>
          </w:tcPr>
          <w:p w14:paraId="5D36AED4" w14:textId="1808969E" w:rsidR="005C3D30" w:rsidRDefault="005C3D30" w:rsidP="007B69F2">
            <w:pPr>
              <w:pStyle w:val="NoSpacing"/>
            </w:pPr>
            <w:r>
              <w:t>1</w:t>
            </w:r>
          </w:p>
        </w:tc>
        <w:tc>
          <w:tcPr>
            <w:tcW w:w="825" w:type="pct"/>
          </w:tcPr>
          <w:p w14:paraId="0071F9FF" w14:textId="6358C9F6" w:rsidR="005C3D30" w:rsidRDefault="005C3D30" w:rsidP="007B69F2">
            <w:pPr>
              <w:pStyle w:val="NoSpacing"/>
            </w:pPr>
            <w:r>
              <w:t>5</w:t>
            </w:r>
          </w:p>
        </w:tc>
        <w:tc>
          <w:tcPr>
            <w:tcW w:w="1022" w:type="pct"/>
          </w:tcPr>
          <w:p w14:paraId="15DDE7E4" w14:textId="0567F6C1" w:rsidR="005C3D30" w:rsidRDefault="005C3D30" w:rsidP="007B69F2">
            <w:pPr>
              <w:pStyle w:val="NoSpacing"/>
            </w:pPr>
            <w:r>
              <w:t>95</w:t>
            </w:r>
          </w:p>
        </w:tc>
        <w:tc>
          <w:tcPr>
            <w:tcW w:w="1730" w:type="pct"/>
          </w:tcPr>
          <w:p w14:paraId="7D15C661" w14:textId="0FE0599E" w:rsidR="005C3D30" w:rsidRDefault="005C3D30" w:rsidP="007B69F2">
            <w:pPr>
              <w:pStyle w:val="NoSpacing"/>
            </w:pPr>
            <w:r>
              <w:t>1.053%</w:t>
            </w:r>
          </w:p>
        </w:tc>
      </w:tr>
      <w:tr w:rsidR="005C3D30" w14:paraId="1A80A236" w14:textId="77777777" w:rsidTr="005C3D30">
        <w:tc>
          <w:tcPr>
            <w:tcW w:w="612" w:type="pct"/>
          </w:tcPr>
          <w:p w14:paraId="0C060F75" w14:textId="4DFCC7AF" w:rsidR="005C3D30" w:rsidRDefault="005C3D30" w:rsidP="007B69F2">
            <w:pPr>
              <w:pStyle w:val="NoSpacing"/>
            </w:pPr>
            <w:r>
              <w:t>Tewksbury</w:t>
            </w:r>
          </w:p>
        </w:tc>
        <w:tc>
          <w:tcPr>
            <w:tcW w:w="811" w:type="pct"/>
          </w:tcPr>
          <w:p w14:paraId="5F8BC216" w14:textId="1C86F368" w:rsidR="005C3D30" w:rsidRDefault="005C3D30" w:rsidP="007B69F2">
            <w:pPr>
              <w:pStyle w:val="NoSpacing"/>
            </w:pPr>
            <w:r>
              <w:t>6</w:t>
            </w:r>
          </w:p>
        </w:tc>
        <w:tc>
          <w:tcPr>
            <w:tcW w:w="825" w:type="pct"/>
          </w:tcPr>
          <w:p w14:paraId="510248AE" w14:textId="6048CEF0" w:rsidR="005C3D30" w:rsidRDefault="005C3D30" w:rsidP="007B69F2">
            <w:pPr>
              <w:pStyle w:val="NoSpacing"/>
            </w:pPr>
            <w:r>
              <w:t>5</w:t>
            </w:r>
          </w:p>
        </w:tc>
        <w:tc>
          <w:tcPr>
            <w:tcW w:w="1022" w:type="pct"/>
          </w:tcPr>
          <w:p w14:paraId="0FA1A3E1" w14:textId="2F9061BC" w:rsidR="005C3D30" w:rsidRDefault="005C3D30" w:rsidP="007B69F2">
            <w:pPr>
              <w:pStyle w:val="NoSpacing"/>
            </w:pPr>
            <w:r>
              <w:t>143</w:t>
            </w:r>
          </w:p>
        </w:tc>
        <w:tc>
          <w:tcPr>
            <w:tcW w:w="1730" w:type="pct"/>
          </w:tcPr>
          <w:p w14:paraId="4718B911" w14:textId="2CDAB90F" w:rsidR="005C3D30" w:rsidRDefault="005C3D30" w:rsidP="007B69F2">
            <w:pPr>
              <w:pStyle w:val="NoSpacing"/>
            </w:pPr>
            <w:r>
              <w:t>4.196%</w:t>
            </w:r>
          </w:p>
        </w:tc>
      </w:tr>
      <w:tr w:rsidR="005C3D30" w14:paraId="5F537EB9" w14:textId="77777777" w:rsidTr="005C3D30">
        <w:tc>
          <w:tcPr>
            <w:tcW w:w="612" w:type="pct"/>
          </w:tcPr>
          <w:p w14:paraId="53DBADB5" w14:textId="15EADB33" w:rsidR="005C3D30" w:rsidRDefault="005C3D30" w:rsidP="007B69F2">
            <w:pPr>
              <w:pStyle w:val="NoSpacing"/>
            </w:pPr>
            <w:r>
              <w:t>Tyngsboro</w:t>
            </w:r>
          </w:p>
        </w:tc>
        <w:tc>
          <w:tcPr>
            <w:tcW w:w="811" w:type="pct"/>
          </w:tcPr>
          <w:p w14:paraId="2DA3EC85" w14:textId="0034A59E" w:rsidR="005C3D30" w:rsidRDefault="005C3D30" w:rsidP="007B69F2">
            <w:pPr>
              <w:pStyle w:val="NoSpacing"/>
            </w:pPr>
            <w:r>
              <w:t>0</w:t>
            </w:r>
          </w:p>
        </w:tc>
        <w:tc>
          <w:tcPr>
            <w:tcW w:w="825" w:type="pct"/>
          </w:tcPr>
          <w:p w14:paraId="445CF260" w14:textId="6437AE98" w:rsidR="005C3D30" w:rsidRDefault="005C3D30" w:rsidP="007B69F2">
            <w:pPr>
              <w:pStyle w:val="NoSpacing"/>
            </w:pPr>
            <w:r>
              <w:t>1</w:t>
            </w:r>
          </w:p>
        </w:tc>
        <w:tc>
          <w:tcPr>
            <w:tcW w:w="1022" w:type="pct"/>
          </w:tcPr>
          <w:p w14:paraId="04B57626" w14:textId="5FAB2951" w:rsidR="005C3D30" w:rsidRDefault="005C3D30" w:rsidP="007B69F2">
            <w:pPr>
              <w:pStyle w:val="NoSpacing"/>
            </w:pPr>
            <w:r>
              <w:t>41</w:t>
            </w:r>
          </w:p>
        </w:tc>
        <w:tc>
          <w:tcPr>
            <w:tcW w:w="1730" w:type="pct"/>
          </w:tcPr>
          <w:p w14:paraId="40823C63" w14:textId="5DFA4E8D" w:rsidR="005C3D30" w:rsidRDefault="005C3D30" w:rsidP="001F2987">
            <w:pPr>
              <w:pStyle w:val="NoSpacing"/>
            </w:pPr>
            <w:r>
              <w:t>0.000%</w:t>
            </w:r>
          </w:p>
        </w:tc>
      </w:tr>
      <w:tr w:rsidR="005C3D30" w14:paraId="69CF7931" w14:textId="77777777" w:rsidTr="005C3D30">
        <w:tc>
          <w:tcPr>
            <w:tcW w:w="612" w:type="pct"/>
          </w:tcPr>
          <w:p w14:paraId="181843F2" w14:textId="1F169EA3" w:rsidR="005C3D30" w:rsidRDefault="005C3D30" w:rsidP="007B69F2">
            <w:pPr>
              <w:pStyle w:val="NoSpacing"/>
            </w:pPr>
            <w:r>
              <w:t>Westford</w:t>
            </w:r>
          </w:p>
        </w:tc>
        <w:tc>
          <w:tcPr>
            <w:tcW w:w="811" w:type="pct"/>
          </w:tcPr>
          <w:p w14:paraId="75F3567B" w14:textId="7EC240C9" w:rsidR="005C3D30" w:rsidRDefault="005C3D30" w:rsidP="007B69F2">
            <w:pPr>
              <w:pStyle w:val="NoSpacing"/>
            </w:pPr>
            <w:r>
              <w:t>0</w:t>
            </w:r>
          </w:p>
        </w:tc>
        <w:tc>
          <w:tcPr>
            <w:tcW w:w="825" w:type="pct"/>
          </w:tcPr>
          <w:p w14:paraId="57AD56C2" w14:textId="4731DC27" w:rsidR="005C3D30" w:rsidRDefault="005C3D30" w:rsidP="007B69F2">
            <w:pPr>
              <w:pStyle w:val="NoSpacing"/>
            </w:pPr>
            <w:r>
              <w:t>2</w:t>
            </w:r>
          </w:p>
        </w:tc>
        <w:tc>
          <w:tcPr>
            <w:tcW w:w="1022" w:type="pct"/>
          </w:tcPr>
          <w:p w14:paraId="13499609" w14:textId="3CCB2092" w:rsidR="005C3D30" w:rsidRDefault="005C3D30" w:rsidP="007B69F2">
            <w:pPr>
              <w:pStyle w:val="NoSpacing"/>
            </w:pPr>
            <w:r>
              <w:t>30</w:t>
            </w:r>
          </w:p>
        </w:tc>
        <w:tc>
          <w:tcPr>
            <w:tcW w:w="1730" w:type="pct"/>
          </w:tcPr>
          <w:p w14:paraId="090D99BC" w14:textId="66A44E1A" w:rsidR="005C3D30" w:rsidRDefault="005C3D30" w:rsidP="001F2987">
            <w:pPr>
              <w:pStyle w:val="NoSpacing"/>
            </w:pPr>
            <w:r>
              <w:t>0.000%</w:t>
            </w:r>
          </w:p>
        </w:tc>
      </w:tr>
      <w:tr w:rsidR="005C3D30" w14:paraId="585DFF51" w14:textId="77777777" w:rsidTr="005C3D30">
        <w:tc>
          <w:tcPr>
            <w:tcW w:w="612" w:type="pct"/>
          </w:tcPr>
          <w:p w14:paraId="6224C043" w14:textId="2918BA58" w:rsidR="005C3D30" w:rsidRPr="00EB2AAA" w:rsidRDefault="005C3D30" w:rsidP="007B69F2">
            <w:pPr>
              <w:pStyle w:val="NoSpacing"/>
              <w:rPr>
                <w:b/>
              </w:rPr>
            </w:pPr>
            <w:r>
              <w:rPr>
                <w:b/>
              </w:rPr>
              <w:t>Total</w:t>
            </w:r>
          </w:p>
        </w:tc>
        <w:tc>
          <w:tcPr>
            <w:tcW w:w="811" w:type="pct"/>
          </w:tcPr>
          <w:p w14:paraId="36F0AF92" w14:textId="34B183C2" w:rsidR="005C3D30" w:rsidRPr="00EB2AAA" w:rsidRDefault="005C3D30" w:rsidP="007B69F2">
            <w:pPr>
              <w:pStyle w:val="NoSpacing"/>
              <w:rPr>
                <w:b/>
              </w:rPr>
            </w:pPr>
            <w:r>
              <w:rPr>
                <w:b/>
              </w:rPr>
              <w:t>33</w:t>
            </w:r>
          </w:p>
        </w:tc>
        <w:tc>
          <w:tcPr>
            <w:tcW w:w="825" w:type="pct"/>
          </w:tcPr>
          <w:p w14:paraId="2AC7448D" w14:textId="5ED7A353" w:rsidR="005C3D30" w:rsidRDefault="005C3D30" w:rsidP="007B69F2">
            <w:pPr>
              <w:pStyle w:val="NoSpacing"/>
              <w:rPr>
                <w:b/>
              </w:rPr>
            </w:pPr>
            <w:r>
              <w:rPr>
                <w:b/>
              </w:rPr>
              <w:t>54</w:t>
            </w:r>
          </w:p>
        </w:tc>
        <w:tc>
          <w:tcPr>
            <w:tcW w:w="1022" w:type="pct"/>
          </w:tcPr>
          <w:p w14:paraId="4A8C36BA" w14:textId="2FE62286" w:rsidR="005C3D30" w:rsidRPr="00EB2AAA" w:rsidRDefault="005C3D30" w:rsidP="007B69F2">
            <w:pPr>
              <w:pStyle w:val="NoSpacing"/>
              <w:rPr>
                <w:b/>
              </w:rPr>
            </w:pPr>
            <w:r>
              <w:rPr>
                <w:b/>
              </w:rPr>
              <w:t>1,231</w:t>
            </w:r>
          </w:p>
        </w:tc>
        <w:tc>
          <w:tcPr>
            <w:tcW w:w="1730" w:type="pct"/>
          </w:tcPr>
          <w:p w14:paraId="001C4A60" w14:textId="5975EE7F" w:rsidR="005C3D30" w:rsidRPr="00EB2AAA" w:rsidRDefault="005C3D30" w:rsidP="001F2987">
            <w:pPr>
              <w:pStyle w:val="NoSpacing"/>
              <w:rPr>
                <w:b/>
              </w:rPr>
            </w:pPr>
            <w:r>
              <w:rPr>
                <w:b/>
              </w:rPr>
              <w:t>2.681%</w:t>
            </w:r>
          </w:p>
        </w:tc>
      </w:tr>
    </w:tbl>
    <w:p w14:paraId="38082619" w14:textId="77777777" w:rsidR="00746F29" w:rsidRDefault="00746F29" w:rsidP="007B69F2">
      <w:pPr>
        <w:pStyle w:val="NoSpacing"/>
      </w:pPr>
    </w:p>
    <w:p w14:paraId="0BD5A38C" w14:textId="0217B64B" w:rsidR="00881F1B" w:rsidRDefault="005C3D30" w:rsidP="007B69F2">
      <w:pPr>
        <w:pStyle w:val="NoSpacing"/>
      </w:pPr>
      <w:r>
        <w:t xml:space="preserve">The number of opioid overdose deaths increased by 64% between 2009 and 2014, in the greater Lowell area.  </w:t>
      </w:r>
      <w:r w:rsidR="00CB48AD">
        <w:t>Assuming the OD death rate stayed consistent at 2.681%, we can estimate that there were 2,014 overdoses in 2014.</w:t>
      </w:r>
      <w:r w:rsidR="00E223A0">
        <w:t xml:space="preserve">  If the death rate from overdoses decreased, then then number of ODs was even higher.</w:t>
      </w:r>
    </w:p>
    <w:p w14:paraId="1DEFEB42" w14:textId="77777777" w:rsidR="00881F1B" w:rsidRDefault="00881F1B" w:rsidP="007B69F2">
      <w:pPr>
        <w:pStyle w:val="NoSpacing"/>
      </w:pPr>
    </w:p>
    <w:p w14:paraId="6D3F3716" w14:textId="52DC507B" w:rsidR="00D803FF" w:rsidRDefault="00D803FF" w:rsidP="00197059">
      <w:pPr>
        <w:pStyle w:val="NoSpacing"/>
        <w:numPr>
          <w:ilvl w:val="0"/>
          <w:numId w:val="1"/>
        </w:numPr>
        <w:rPr>
          <w:b/>
        </w:rPr>
      </w:pPr>
      <w:r>
        <w:rPr>
          <w:b/>
        </w:rPr>
        <w:t>What were the OD rates by town?</w:t>
      </w:r>
      <w:r w:rsidR="00785863">
        <w:rPr>
          <w:b/>
        </w:rPr>
        <w:t xml:space="preserve">  </w:t>
      </w:r>
      <w:r w:rsidR="00785863">
        <w:t xml:space="preserve">The table below shows </w:t>
      </w:r>
      <w:r w:rsidR="00577362">
        <w:t>what the OD rates were by town but does not take into account the possibility of the same individuals overdosing multiple times.</w:t>
      </w:r>
    </w:p>
    <w:p w14:paraId="2D312B66" w14:textId="77777777" w:rsidR="00D803FF" w:rsidRDefault="00D803FF" w:rsidP="00D803FF">
      <w:pPr>
        <w:pStyle w:val="NoSpacing"/>
        <w:rPr>
          <w:b/>
        </w:rPr>
      </w:pPr>
    </w:p>
    <w:tbl>
      <w:tblPr>
        <w:tblStyle w:val="TableGrid"/>
        <w:tblW w:w="9108" w:type="dxa"/>
        <w:tblLook w:val="04A0" w:firstRow="1" w:lastRow="0" w:firstColumn="1" w:lastColumn="0" w:noHBand="0" w:noVBand="1"/>
      </w:tblPr>
      <w:tblGrid>
        <w:gridCol w:w="2214"/>
        <w:gridCol w:w="2214"/>
        <w:gridCol w:w="2214"/>
        <w:gridCol w:w="2466"/>
      </w:tblGrid>
      <w:tr w:rsidR="00D803FF" w:rsidRPr="007B69F2" w14:paraId="14F6F05F" w14:textId="77777777" w:rsidTr="00D803FF">
        <w:tc>
          <w:tcPr>
            <w:tcW w:w="2214" w:type="dxa"/>
          </w:tcPr>
          <w:p w14:paraId="02B9C0A2" w14:textId="77777777" w:rsidR="00D803FF" w:rsidRPr="007B69F2" w:rsidRDefault="00D803FF" w:rsidP="00D803FF">
            <w:pPr>
              <w:pStyle w:val="NoSpacing"/>
              <w:rPr>
                <w:b/>
              </w:rPr>
            </w:pPr>
            <w:r w:rsidRPr="007B69F2">
              <w:rPr>
                <w:b/>
              </w:rPr>
              <w:t>City</w:t>
            </w:r>
          </w:p>
        </w:tc>
        <w:tc>
          <w:tcPr>
            <w:tcW w:w="2214" w:type="dxa"/>
          </w:tcPr>
          <w:p w14:paraId="2B1FC964" w14:textId="1AE147F0" w:rsidR="00D803FF" w:rsidRPr="007B69F2" w:rsidRDefault="00D803FF" w:rsidP="00D803FF">
            <w:pPr>
              <w:pStyle w:val="NoSpacing"/>
              <w:rPr>
                <w:b/>
              </w:rPr>
            </w:pPr>
            <w:r w:rsidRPr="007B69F2">
              <w:rPr>
                <w:b/>
              </w:rPr>
              <w:t>20</w:t>
            </w:r>
            <w:r>
              <w:rPr>
                <w:b/>
              </w:rPr>
              <w:t>10 Population</w:t>
            </w:r>
          </w:p>
        </w:tc>
        <w:tc>
          <w:tcPr>
            <w:tcW w:w="2214" w:type="dxa"/>
          </w:tcPr>
          <w:p w14:paraId="7D7DC031" w14:textId="77777777" w:rsidR="00D803FF" w:rsidRPr="007B69F2" w:rsidRDefault="00D803FF" w:rsidP="00D803FF">
            <w:pPr>
              <w:pStyle w:val="NoSpacing"/>
              <w:rPr>
                <w:b/>
              </w:rPr>
            </w:pPr>
            <w:r w:rsidRPr="007B69F2">
              <w:rPr>
                <w:b/>
              </w:rPr>
              <w:t>2009 Overdoses</w:t>
            </w:r>
          </w:p>
        </w:tc>
        <w:tc>
          <w:tcPr>
            <w:tcW w:w="2466" w:type="dxa"/>
          </w:tcPr>
          <w:p w14:paraId="5C4317DA" w14:textId="4F918D1D" w:rsidR="00D803FF" w:rsidRPr="007B69F2" w:rsidRDefault="00D803FF" w:rsidP="00D803FF">
            <w:pPr>
              <w:pStyle w:val="NoSpacing"/>
              <w:rPr>
                <w:b/>
              </w:rPr>
            </w:pPr>
            <w:r w:rsidRPr="007B69F2">
              <w:rPr>
                <w:b/>
              </w:rPr>
              <w:t>2009 OD Rate</w:t>
            </w:r>
          </w:p>
        </w:tc>
      </w:tr>
      <w:tr w:rsidR="00D803FF" w14:paraId="48A2F2F1" w14:textId="77777777" w:rsidTr="00D803FF">
        <w:tc>
          <w:tcPr>
            <w:tcW w:w="2214" w:type="dxa"/>
          </w:tcPr>
          <w:p w14:paraId="60702EBF" w14:textId="6D6D935B" w:rsidR="00D803FF" w:rsidRDefault="008A1649" w:rsidP="00D803FF">
            <w:pPr>
              <w:pStyle w:val="NoSpacing"/>
            </w:pPr>
            <w:r>
              <w:t>Lowell</w:t>
            </w:r>
          </w:p>
        </w:tc>
        <w:tc>
          <w:tcPr>
            <w:tcW w:w="2214" w:type="dxa"/>
          </w:tcPr>
          <w:p w14:paraId="4ABE451B" w14:textId="51AA8D87" w:rsidR="00D803FF" w:rsidRDefault="008A1649" w:rsidP="00D803FF">
            <w:pPr>
              <w:pStyle w:val="NoSpacing"/>
            </w:pPr>
            <w:r>
              <w:t>106,519</w:t>
            </w:r>
          </w:p>
        </w:tc>
        <w:tc>
          <w:tcPr>
            <w:tcW w:w="2214" w:type="dxa"/>
          </w:tcPr>
          <w:p w14:paraId="006DEFFC" w14:textId="0F4296F8" w:rsidR="00D803FF" w:rsidRDefault="002174D4" w:rsidP="00D803FF">
            <w:pPr>
              <w:pStyle w:val="NoSpacing"/>
            </w:pPr>
            <w:r>
              <w:t>638</w:t>
            </w:r>
          </w:p>
        </w:tc>
        <w:tc>
          <w:tcPr>
            <w:tcW w:w="2466" w:type="dxa"/>
          </w:tcPr>
          <w:p w14:paraId="149C3B7D" w14:textId="7D3C6D88" w:rsidR="00D803FF" w:rsidRDefault="00CF773D" w:rsidP="00D803FF">
            <w:pPr>
              <w:pStyle w:val="NoSpacing"/>
            </w:pPr>
            <w:r>
              <w:t>0.599%</w:t>
            </w:r>
          </w:p>
        </w:tc>
      </w:tr>
      <w:tr w:rsidR="00D803FF" w14:paraId="5DB6D01C" w14:textId="77777777" w:rsidTr="00D803FF">
        <w:tc>
          <w:tcPr>
            <w:tcW w:w="2214" w:type="dxa"/>
          </w:tcPr>
          <w:p w14:paraId="2E4EE64D" w14:textId="6568BF61" w:rsidR="00D803FF" w:rsidRDefault="008A1649" w:rsidP="00D803FF">
            <w:pPr>
              <w:pStyle w:val="NoSpacing"/>
            </w:pPr>
            <w:r>
              <w:t>Billerica</w:t>
            </w:r>
          </w:p>
        </w:tc>
        <w:tc>
          <w:tcPr>
            <w:tcW w:w="2214" w:type="dxa"/>
          </w:tcPr>
          <w:p w14:paraId="23E5D292" w14:textId="1C9118BD" w:rsidR="00D803FF" w:rsidRDefault="008A1649" w:rsidP="00D803FF">
            <w:pPr>
              <w:pStyle w:val="NoSpacing"/>
            </w:pPr>
            <w:r>
              <w:t>40,243</w:t>
            </w:r>
          </w:p>
        </w:tc>
        <w:tc>
          <w:tcPr>
            <w:tcW w:w="2214" w:type="dxa"/>
          </w:tcPr>
          <w:p w14:paraId="42CBE02A" w14:textId="2E1E3872" w:rsidR="00D803FF" w:rsidRDefault="00CF773D" w:rsidP="00D803FF">
            <w:pPr>
              <w:pStyle w:val="NoSpacing"/>
            </w:pPr>
            <w:r>
              <w:t>188</w:t>
            </w:r>
          </w:p>
        </w:tc>
        <w:tc>
          <w:tcPr>
            <w:tcW w:w="2466" w:type="dxa"/>
          </w:tcPr>
          <w:p w14:paraId="22637CC8" w14:textId="1242F511" w:rsidR="00D803FF" w:rsidRDefault="00CF773D" w:rsidP="00D803FF">
            <w:pPr>
              <w:pStyle w:val="NoSpacing"/>
            </w:pPr>
            <w:r>
              <w:t>0.467%</w:t>
            </w:r>
          </w:p>
        </w:tc>
      </w:tr>
      <w:tr w:rsidR="00D803FF" w14:paraId="17AD068C" w14:textId="77777777" w:rsidTr="00D803FF">
        <w:tc>
          <w:tcPr>
            <w:tcW w:w="2214" w:type="dxa"/>
          </w:tcPr>
          <w:p w14:paraId="495A98A4" w14:textId="7B5D0EC5" w:rsidR="00D803FF" w:rsidRDefault="008A1649" w:rsidP="00D803FF">
            <w:pPr>
              <w:pStyle w:val="NoSpacing"/>
            </w:pPr>
            <w:r>
              <w:t>Chelmsford</w:t>
            </w:r>
          </w:p>
        </w:tc>
        <w:tc>
          <w:tcPr>
            <w:tcW w:w="2214" w:type="dxa"/>
          </w:tcPr>
          <w:p w14:paraId="339E9695" w14:textId="08582A29" w:rsidR="00D803FF" w:rsidRDefault="008A1649" w:rsidP="00D803FF">
            <w:pPr>
              <w:pStyle w:val="NoSpacing"/>
            </w:pPr>
            <w:r>
              <w:t>33,802</w:t>
            </w:r>
          </w:p>
        </w:tc>
        <w:tc>
          <w:tcPr>
            <w:tcW w:w="2214" w:type="dxa"/>
          </w:tcPr>
          <w:p w14:paraId="6603A526" w14:textId="586834F8" w:rsidR="00D803FF" w:rsidRDefault="00CF773D" w:rsidP="00D803FF">
            <w:pPr>
              <w:pStyle w:val="NoSpacing"/>
            </w:pPr>
            <w:r>
              <w:t>96</w:t>
            </w:r>
          </w:p>
        </w:tc>
        <w:tc>
          <w:tcPr>
            <w:tcW w:w="2466" w:type="dxa"/>
          </w:tcPr>
          <w:p w14:paraId="34E38689" w14:textId="2DC04DFD" w:rsidR="00D803FF" w:rsidRDefault="00CF773D" w:rsidP="00D803FF">
            <w:pPr>
              <w:pStyle w:val="NoSpacing"/>
            </w:pPr>
            <w:r>
              <w:t>0.284%</w:t>
            </w:r>
          </w:p>
        </w:tc>
      </w:tr>
      <w:tr w:rsidR="00D803FF" w14:paraId="5FBC58BF" w14:textId="77777777" w:rsidTr="00D803FF">
        <w:tc>
          <w:tcPr>
            <w:tcW w:w="2214" w:type="dxa"/>
          </w:tcPr>
          <w:p w14:paraId="63E0D4FE" w14:textId="483CC348" w:rsidR="00D803FF" w:rsidRDefault="008A1649" w:rsidP="00D803FF">
            <w:pPr>
              <w:pStyle w:val="NoSpacing"/>
            </w:pPr>
            <w:r>
              <w:t>Dracut</w:t>
            </w:r>
          </w:p>
        </w:tc>
        <w:tc>
          <w:tcPr>
            <w:tcW w:w="2214" w:type="dxa"/>
          </w:tcPr>
          <w:p w14:paraId="4357ED97" w14:textId="38AE6FA1" w:rsidR="00D803FF" w:rsidRDefault="008A1649" w:rsidP="00D803FF">
            <w:pPr>
              <w:pStyle w:val="NoSpacing"/>
            </w:pPr>
            <w:r>
              <w:t>29,457</w:t>
            </w:r>
          </w:p>
        </w:tc>
        <w:tc>
          <w:tcPr>
            <w:tcW w:w="2214" w:type="dxa"/>
          </w:tcPr>
          <w:p w14:paraId="1F42811D" w14:textId="30C4F9D8" w:rsidR="00D803FF" w:rsidRDefault="00CF773D" w:rsidP="00D803FF">
            <w:pPr>
              <w:pStyle w:val="NoSpacing"/>
            </w:pPr>
            <w:r>
              <w:t>95</w:t>
            </w:r>
          </w:p>
        </w:tc>
        <w:tc>
          <w:tcPr>
            <w:tcW w:w="2466" w:type="dxa"/>
          </w:tcPr>
          <w:p w14:paraId="55600568" w14:textId="457CC152" w:rsidR="00D803FF" w:rsidRDefault="00CF773D" w:rsidP="00D803FF">
            <w:pPr>
              <w:pStyle w:val="NoSpacing"/>
            </w:pPr>
            <w:r>
              <w:t>0.323%</w:t>
            </w:r>
          </w:p>
        </w:tc>
      </w:tr>
      <w:tr w:rsidR="00D803FF" w14:paraId="19CACB15" w14:textId="77777777" w:rsidTr="00D803FF">
        <w:tc>
          <w:tcPr>
            <w:tcW w:w="2214" w:type="dxa"/>
          </w:tcPr>
          <w:p w14:paraId="57A57BCA" w14:textId="06FD6AEC" w:rsidR="00D803FF" w:rsidRDefault="008A1649" w:rsidP="00D803FF">
            <w:pPr>
              <w:pStyle w:val="NoSpacing"/>
            </w:pPr>
            <w:r>
              <w:t>Tewksbury</w:t>
            </w:r>
          </w:p>
        </w:tc>
        <w:tc>
          <w:tcPr>
            <w:tcW w:w="2214" w:type="dxa"/>
          </w:tcPr>
          <w:p w14:paraId="028ADD83" w14:textId="0FEB116A" w:rsidR="00D803FF" w:rsidRDefault="008A1649" w:rsidP="00D803FF">
            <w:pPr>
              <w:pStyle w:val="NoSpacing"/>
            </w:pPr>
            <w:r>
              <w:t>28,961</w:t>
            </w:r>
          </w:p>
        </w:tc>
        <w:tc>
          <w:tcPr>
            <w:tcW w:w="2214" w:type="dxa"/>
          </w:tcPr>
          <w:p w14:paraId="24609800" w14:textId="0FB18E97" w:rsidR="00D803FF" w:rsidRDefault="00CF773D" w:rsidP="00D803FF">
            <w:pPr>
              <w:pStyle w:val="NoSpacing"/>
            </w:pPr>
            <w:r>
              <w:t>143</w:t>
            </w:r>
          </w:p>
        </w:tc>
        <w:tc>
          <w:tcPr>
            <w:tcW w:w="2466" w:type="dxa"/>
          </w:tcPr>
          <w:p w14:paraId="28B3EE54" w14:textId="5E113B88" w:rsidR="00D803FF" w:rsidRDefault="00CF773D" w:rsidP="00D803FF">
            <w:pPr>
              <w:pStyle w:val="NoSpacing"/>
            </w:pPr>
            <w:r>
              <w:t>0.494%</w:t>
            </w:r>
          </w:p>
        </w:tc>
      </w:tr>
      <w:tr w:rsidR="00D803FF" w14:paraId="7AD0E94E" w14:textId="77777777" w:rsidTr="00D803FF">
        <w:tc>
          <w:tcPr>
            <w:tcW w:w="2214" w:type="dxa"/>
          </w:tcPr>
          <w:p w14:paraId="13DDB1CF" w14:textId="42EB0F89" w:rsidR="00D803FF" w:rsidRDefault="00624BA9" w:rsidP="00D803FF">
            <w:pPr>
              <w:pStyle w:val="NoSpacing"/>
            </w:pPr>
            <w:r>
              <w:t>Tyngsboro</w:t>
            </w:r>
          </w:p>
        </w:tc>
        <w:tc>
          <w:tcPr>
            <w:tcW w:w="2214" w:type="dxa"/>
          </w:tcPr>
          <w:p w14:paraId="3AFB091F" w14:textId="6C2396FA" w:rsidR="00D803FF" w:rsidRDefault="008A1649" w:rsidP="00D803FF">
            <w:pPr>
              <w:pStyle w:val="NoSpacing"/>
            </w:pPr>
            <w:r>
              <w:t>11,292</w:t>
            </w:r>
          </w:p>
        </w:tc>
        <w:tc>
          <w:tcPr>
            <w:tcW w:w="2214" w:type="dxa"/>
          </w:tcPr>
          <w:p w14:paraId="4B99C992" w14:textId="29B7F665" w:rsidR="00D803FF" w:rsidRDefault="00CF773D" w:rsidP="00D803FF">
            <w:pPr>
              <w:pStyle w:val="NoSpacing"/>
            </w:pPr>
            <w:r>
              <w:t>41</w:t>
            </w:r>
          </w:p>
        </w:tc>
        <w:tc>
          <w:tcPr>
            <w:tcW w:w="2466" w:type="dxa"/>
          </w:tcPr>
          <w:p w14:paraId="65D6C1AD" w14:textId="5625BAF4" w:rsidR="00D803FF" w:rsidRDefault="00CF773D" w:rsidP="00D803FF">
            <w:pPr>
              <w:pStyle w:val="NoSpacing"/>
            </w:pPr>
            <w:r>
              <w:t>0.363%</w:t>
            </w:r>
          </w:p>
        </w:tc>
      </w:tr>
      <w:tr w:rsidR="00FE08D3" w14:paraId="51132980" w14:textId="77777777" w:rsidTr="00D803FF">
        <w:tc>
          <w:tcPr>
            <w:tcW w:w="2214" w:type="dxa"/>
          </w:tcPr>
          <w:p w14:paraId="544E5946" w14:textId="47356ECB" w:rsidR="00FE08D3" w:rsidRDefault="008A1649" w:rsidP="00D803FF">
            <w:pPr>
              <w:pStyle w:val="NoSpacing"/>
            </w:pPr>
            <w:r>
              <w:t>Westford</w:t>
            </w:r>
          </w:p>
        </w:tc>
        <w:tc>
          <w:tcPr>
            <w:tcW w:w="2214" w:type="dxa"/>
          </w:tcPr>
          <w:p w14:paraId="5CC3BB41" w14:textId="2C63DF4C" w:rsidR="00FE08D3" w:rsidRDefault="008A1649" w:rsidP="00D803FF">
            <w:pPr>
              <w:pStyle w:val="NoSpacing"/>
            </w:pPr>
            <w:r>
              <w:t>21,951</w:t>
            </w:r>
          </w:p>
        </w:tc>
        <w:tc>
          <w:tcPr>
            <w:tcW w:w="2214" w:type="dxa"/>
          </w:tcPr>
          <w:p w14:paraId="5BF38ADF" w14:textId="11745BBC" w:rsidR="00FE08D3" w:rsidRDefault="00CF773D" w:rsidP="00D803FF">
            <w:pPr>
              <w:pStyle w:val="NoSpacing"/>
            </w:pPr>
            <w:r>
              <w:t>30</w:t>
            </w:r>
          </w:p>
        </w:tc>
        <w:tc>
          <w:tcPr>
            <w:tcW w:w="2466" w:type="dxa"/>
          </w:tcPr>
          <w:p w14:paraId="29237A2F" w14:textId="008207B9" w:rsidR="00FE08D3" w:rsidRDefault="00CF773D" w:rsidP="00D803FF">
            <w:pPr>
              <w:pStyle w:val="NoSpacing"/>
            </w:pPr>
            <w:r>
              <w:t>0.137%</w:t>
            </w:r>
          </w:p>
        </w:tc>
      </w:tr>
    </w:tbl>
    <w:p w14:paraId="3E22CDD8" w14:textId="00701ECD" w:rsidR="00E771BF" w:rsidRPr="002935D0" w:rsidRDefault="00E771BF" w:rsidP="00BF7BC3">
      <w:pPr>
        <w:pStyle w:val="NoSpacing"/>
        <w:rPr>
          <w:b/>
        </w:rPr>
      </w:pPr>
    </w:p>
    <w:p w14:paraId="3DFB7E2C" w14:textId="542D745A" w:rsidR="006665EA" w:rsidRPr="002935D0" w:rsidRDefault="006665EA" w:rsidP="00197059">
      <w:pPr>
        <w:pStyle w:val="NoSpacing"/>
        <w:numPr>
          <w:ilvl w:val="0"/>
          <w:numId w:val="1"/>
        </w:numPr>
        <w:rPr>
          <w:b/>
        </w:rPr>
      </w:pPr>
      <w:r w:rsidRPr="002935D0">
        <w:rPr>
          <w:b/>
        </w:rPr>
        <w:t>How many people are prescribed opioids each day?  What is the distribution of the length of these prescriptions?</w:t>
      </w:r>
      <w:r w:rsidR="00BF7BC3">
        <w:rPr>
          <w:b/>
        </w:rPr>
        <w:t xml:space="preserve">  </w:t>
      </w:r>
      <w:r w:rsidR="00BF7BC3">
        <w:t xml:space="preserve">We can currently get some Medicare data from </w:t>
      </w:r>
      <w:proofErr w:type="spellStart"/>
      <w:r w:rsidR="00BF7BC3">
        <w:t>pgAdmin</w:t>
      </w:r>
      <w:proofErr w:type="spellEnd"/>
      <w:r w:rsidR="00BF7BC3">
        <w:t>.</w:t>
      </w:r>
    </w:p>
    <w:p w14:paraId="7B226E2F" w14:textId="02F722AC" w:rsidR="000832AB" w:rsidRDefault="000832AB" w:rsidP="00197059">
      <w:pPr>
        <w:pStyle w:val="NoSpacing"/>
        <w:numPr>
          <w:ilvl w:val="0"/>
          <w:numId w:val="1"/>
        </w:numPr>
        <w:rPr>
          <w:b/>
        </w:rPr>
      </w:pPr>
      <w:r w:rsidRPr="002935D0">
        <w:rPr>
          <w:b/>
        </w:rPr>
        <w:lastRenderedPageBreak/>
        <w:t>Can we get raw data of the BSAS admissions?</w:t>
      </w:r>
      <w:r w:rsidR="00BF7BC3">
        <w:rPr>
          <w:b/>
        </w:rPr>
        <w:t xml:space="preserve">  It would be interesting to know how long patients have been using opioids and how they started.  This would allow us to better understand which which transitions lead to addiction.</w:t>
      </w:r>
    </w:p>
    <w:p w14:paraId="51CF54A3" w14:textId="028343F9" w:rsidR="006E51F1" w:rsidRDefault="006E51F1" w:rsidP="00197059">
      <w:pPr>
        <w:pStyle w:val="NoSpacing"/>
        <w:numPr>
          <w:ilvl w:val="0"/>
          <w:numId w:val="1"/>
        </w:numPr>
        <w:rPr>
          <w:b/>
        </w:rPr>
      </w:pPr>
      <w:r>
        <w:rPr>
          <w:b/>
        </w:rPr>
        <w:t>Do the high schools or colleges have students fill out anonymous surveys about substance abuse?  This may help provide a rough estimate of the number of teenagers who are misusing opioids.</w:t>
      </w:r>
    </w:p>
    <w:p w14:paraId="74AEF3BE" w14:textId="52D71B95" w:rsidR="006E51F1" w:rsidRDefault="006E51F1" w:rsidP="00197059">
      <w:pPr>
        <w:pStyle w:val="NoSpacing"/>
        <w:numPr>
          <w:ilvl w:val="0"/>
          <w:numId w:val="1"/>
        </w:numPr>
        <w:rPr>
          <w:b/>
        </w:rPr>
      </w:pPr>
      <w:r>
        <w:rPr>
          <w:b/>
        </w:rPr>
        <w:t>Can the police departments provide us with the number of opioid related arrests</w:t>
      </w:r>
      <w:r w:rsidR="005456DD">
        <w:rPr>
          <w:b/>
        </w:rPr>
        <w:t xml:space="preserve"> made and the nature of the arrests?  This will allow us to better understand how many people are being caught and what stage they are at when they are getting caught.</w:t>
      </w:r>
      <w:r w:rsidR="0060003B">
        <w:rPr>
          <w:b/>
        </w:rPr>
        <w:t xml:space="preserve">  It would also be interesting to know how often police find opioids at underage drinking parties.</w:t>
      </w:r>
    </w:p>
    <w:p w14:paraId="05F41862" w14:textId="701D6F9A" w:rsidR="0007787C" w:rsidRPr="0060003B" w:rsidRDefault="005456DD" w:rsidP="0060003B">
      <w:pPr>
        <w:pStyle w:val="NoSpacing"/>
        <w:numPr>
          <w:ilvl w:val="0"/>
          <w:numId w:val="1"/>
        </w:numPr>
        <w:rPr>
          <w:b/>
        </w:rPr>
      </w:pPr>
      <w:r>
        <w:rPr>
          <w:b/>
        </w:rPr>
        <w:t>Do we have the names and/or stories of the 54 individuals in greater Lowell who overdosed in 2014?  This would help us better understand what transitions are leading to ODs.</w:t>
      </w:r>
      <w:bookmarkStart w:id="0" w:name="_GoBack"/>
      <w:bookmarkEnd w:id="0"/>
    </w:p>
    <w:sectPr w:rsidR="0007787C" w:rsidRPr="0060003B" w:rsidSect="00F37115">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E9E4E" w14:textId="77777777" w:rsidR="008B23FB" w:rsidRDefault="008B23FB" w:rsidP="00197059">
      <w:r>
        <w:separator/>
      </w:r>
    </w:p>
  </w:endnote>
  <w:endnote w:type="continuationSeparator" w:id="0">
    <w:p w14:paraId="358D927F" w14:textId="77777777" w:rsidR="008B23FB" w:rsidRDefault="008B23FB" w:rsidP="0019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69A38" w14:textId="77777777" w:rsidR="008B23FB" w:rsidRDefault="008B23FB" w:rsidP="00197059">
      <w:r>
        <w:separator/>
      </w:r>
    </w:p>
  </w:footnote>
  <w:footnote w:type="continuationSeparator" w:id="0">
    <w:p w14:paraId="2311B33C" w14:textId="77777777" w:rsidR="008B23FB" w:rsidRDefault="008B23FB" w:rsidP="00197059">
      <w:r>
        <w:continuationSeparator/>
      </w:r>
    </w:p>
  </w:footnote>
  <w:footnote w:id="1">
    <w:p w14:paraId="51753070" w14:textId="77777777" w:rsidR="006C4463" w:rsidRDefault="006C4463" w:rsidP="00197059">
      <w:pPr>
        <w:pStyle w:val="NoSpacing"/>
      </w:pPr>
      <w:r>
        <w:rPr>
          <w:rStyle w:val="FootnoteReference"/>
        </w:rPr>
        <w:footnoteRef/>
      </w:r>
      <w:r>
        <w:t xml:space="preserve"> </w:t>
      </w:r>
      <w:hyperlink r:id="rId1" w:history="1">
        <w:r w:rsidRPr="007F6D47">
          <w:rPr>
            <w:rStyle w:val="Hyperlink"/>
          </w:rPr>
          <w:t>http://www.mass.gov/eohhs/docs/dph/injury-surveillance/overdose/opioid-nf-related-cases-town-fy09.pdf</w:t>
        </w:r>
      </w:hyperlink>
    </w:p>
    <w:p w14:paraId="17D006EA" w14:textId="77777777" w:rsidR="006C4463" w:rsidRDefault="006C446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54FB6"/>
    <w:multiLevelType w:val="hybridMultilevel"/>
    <w:tmpl w:val="0FB8822E"/>
    <w:lvl w:ilvl="0" w:tplc="AEB02D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A7571"/>
    <w:multiLevelType w:val="hybridMultilevel"/>
    <w:tmpl w:val="496C0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61"/>
    <w:rsid w:val="0003122E"/>
    <w:rsid w:val="0007787C"/>
    <w:rsid w:val="000832AB"/>
    <w:rsid w:val="00101DB8"/>
    <w:rsid w:val="00112CE0"/>
    <w:rsid w:val="00197059"/>
    <w:rsid w:val="001B5D97"/>
    <w:rsid w:val="001D5139"/>
    <w:rsid w:val="001F2987"/>
    <w:rsid w:val="002174D4"/>
    <w:rsid w:val="00232435"/>
    <w:rsid w:val="002935D0"/>
    <w:rsid w:val="002F1320"/>
    <w:rsid w:val="00383939"/>
    <w:rsid w:val="005456DD"/>
    <w:rsid w:val="00577362"/>
    <w:rsid w:val="005C3D30"/>
    <w:rsid w:val="0060003B"/>
    <w:rsid w:val="00611B50"/>
    <w:rsid w:val="00613ED9"/>
    <w:rsid w:val="00624BA9"/>
    <w:rsid w:val="006665EA"/>
    <w:rsid w:val="006C4463"/>
    <w:rsid w:val="006E51F1"/>
    <w:rsid w:val="00746F29"/>
    <w:rsid w:val="00785863"/>
    <w:rsid w:val="007B69F2"/>
    <w:rsid w:val="00881F1B"/>
    <w:rsid w:val="008A1649"/>
    <w:rsid w:val="008B23FB"/>
    <w:rsid w:val="00932FCD"/>
    <w:rsid w:val="00940E24"/>
    <w:rsid w:val="0096480E"/>
    <w:rsid w:val="009A690C"/>
    <w:rsid w:val="009C2387"/>
    <w:rsid w:val="00A20661"/>
    <w:rsid w:val="00AD250C"/>
    <w:rsid w:val="00B97AFD"/>
    <w:rsid w:val="00BB0FC5"/>
    <w:rsid w:val="00BF7BC3"/>
    <w:rsid w:val="00CB48AD"/>
    <w:rsid w:val="00CB555D"/>
    <w:rsid w:val="00CF773D"/>
    <w:rsid w:val="00D803FF"/>
    <w:rsid w:val="00E223A0"/>
    <w:rsid w:val="00E771BF"/>
    <w:rsid w:val="00E86B06"/>
    <w:rsid w:val="00EB2AAA"/>
    <w:rsid w:val="00EB5741"/>
    <w:rsid w:val="00F37115"/>
    <w:rsid w:val="00FB5B4E"/>
    <w:rsid w:val="00FE0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780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661"/>
  </w:style>
  <w:style w:type="character" w:styleId="Hyperlink">
    <w:name w:val="Hyperlink"/>
    <w:basedOn w:val="DefaultParagraphFont"/>
    <w:uiPriority w:val="99"/>
    <w:unhideWhenUsed/>
    <w:rsid w:val="00197059"/>
    <w:rPr>
      <w:color w:val="0000FF" w:themeColor="hyperlink"/>
      <w:u w:val="single"/>
    </w:rPr>
  </w:style>
  <w:style w:type="character" w:styleId="PlaceholderText">
    <w:name w:val="Placeholder Text"/>
    <w:basedOn w:val="DefaultParagraphFont"/>
    <w:uiPriority w:val="99"/>
    <w:semiHidden/>
    <w:rsid w:val="00197059"/>
    <w:rPr>
      <w:color w:val="808080"/>
    </w:rPr>
  </w:style>
  <w:style w:type="paragraph" w:styleId="BalloonText">
    <w:name w:val="Balloon Text"/>
    <w:basedOn w:val="Normal"/>
    <w:link w:val="BalloonTextChar"/>
    <w:uiPriority w:val="99"/>
    <w:semiHidden/>
    <w:unhideWhenUsed/>
    <w:rsid w:val="00197059"/>
    <w:rPr>
      <w:rFonts w:ascii="Lucida Grande" w:hAnsi="Lucida Grande"/>
      <w:sz w:val="18"/>
      <w:szCs w:val="18"/>
    </w:rPr>
  </w:style>
  <w:style w:type="character" w:customStyle="1" w:styleId="BalloonTextChar">
    <w:name w:val="Balloon Text Char"/>
    <w:basedOn w:val="DefaultParagraphFont"/>
    <w:link w:val="BalloonText"/>
    <w:uiPriority w:val="99"/>
    <w:semiHidden/>
    <w:rsid w:val="00197059"/>
    <w:rPr>
      <w:rFonts w:ascii="Lucida Grande" w:hAnsi="Lucida Grande"/>
      <w:sz w:val="18"/>
      <w:szCs w:val="18"/>
    </w:rPr>
  </w:style>
  <w:style w:type="paragraph" w:styleId="FootnoteText">
    <w:name w:val="footnote text"/>
    <w:basedOn w:val="Normal"/>
    <w:link w:val="FootnoteTextChar"/>
    <w:uiPriority w:val="99"/>
    <w:unhideWhenUsed/>
    <w:rsid w:val="00197059"/>
  </w:style>
  <w:style w:type="character" w:customStyle="1" w:styleId="FootnoteTextChar">
    <w:name w:val="Footnote Text Char"/>
    <w:basedOn w:val="DefaultParagraphFont"/>
    <w:link w:val="FootnoteText"/>
    <w:uiPriority w:val="99"/>
    <w:rsid w:val="00197059"/>
  </w:style>
  <w:style w:type="character" w:styleId="FootnoteReference">
    <w:name w:val="footnote reference"/>
    <w:basedOn w:val="DefaultParagraphFont"/>
    <w:uiPriority w:val="99"/>
    <w:unhideWhenUsed/>
    <w:rsid w:val="00197059"/>
    <w:rPr>
      <w:vertAlign w:val="superscript"/>
    </w:rPr>
  </w:style>
  <w:style w:type="character" w:styleId="FollowedHyperlink">
    <w:name w:val="FollowedHyperlink"/>
    <w:basedOn w:val="DefaultParagraphFont"/>
    <w:uiPriority w:val="99"/>
    <w:semiHidden/>
    <w:unhideWhenUsed/>
    <w:rsid w:val="007B69F2"/>
    <w:rPr>
      <w:color w:val="800080" w:themeColor="followedHyperlink"/>
      <w:u w:val="single"/>
    </w:rPr>
  </w:style>
  <w:style w:type="table" w:styleId="TableGrid">
    <w:name w:val="Table Grid"/>
    <w:basedOn w:val="TableNormal"/>
    <w:uiPriority w:val="59"/>
    <w:rsid w:val="007B69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mass.gov/eohhs/docs/dph/injury-surveillance/overdose/opioid-nf-related-cases-town-fy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374</Words>
  <Characters>2135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MITRE</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Misra Anuj</dc:creator>
  <cp:keywords/>
  <dc:description/>
  <cp:lastModifiedBy>Misra, Anuj</cp:lastModifiedBy>
  <cp:revision>5</cp:revision>
  <dcterms:created xsi:type="dcterms:W3CDTF">2015-12-30T16:47:00Z</dcterms:created>
  <dcterms:modified xsi:type="dcterms:W3CDTF">2016-01-04T20:23:00Z</dcterms:modified>
</cp:coreProperties>
</file>