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7852D" w14:textId="66718225" w:rsidR="00F37115" w:rsidRPr="002935D0" w:rsidRDefault="0003122E" w:rsidP="00A20661">
      <w:pPr>
        <w:pStyle w:val="NoSpacing"/>
        <w:jc w:val="center"/>
        <w:rPr>
          <w:b/>
          <w:sz w:val="28"/>
          <w:szCs w:val="28"/>
        </w:rPr>
      </w:pPr>
      <w:r w:rsidRPr="002935D0">
        <w:rPr>
          <w:b/>
          <w:sz w:val="28"/>
          <w:szCs w:val="28"/>
        </w:rPr>
        <w:t>Useful Questions</w:t>
      </w:r>
      <w:r w:rsidR="002935D0" w:rsidRPr="002935D0">
        <w:rPr>
          <w:b/>
          <w:sz w:val="28"/>
          <w:szCs w:val="28"/>
        </w:rPr>
        <w:t xml:space="preserve"> and Observations</w:t>
      </w:r>
      <w:r w:rsidR="00FB5B4E">
        <w:rPr>
          <w:b/>
          <w:sz w:val="28"/>
          <w:szCs w:val="28"/>
        </w:rPr>
        <w:t xml:space="preserve"> 9/21</w:t>
      </w:r>
      <w:r w:rsidR="00A20661" w:rsidRPr="002935D0">
        <w:rPr>
          <w:b/>
          <w:sz w:val="28"/>
          <w:szCs w:val="28"/>
        </w:rPr>
        <w:t>/15</w:t>
      </w:r>
    </w:p>
    <w:p w14:paraId="7ABCF82B" w14:textId="77777777" w:rsidR="00A20661" w:rsidRPr="002935D0" w:rsidRDefault="00A20661" w:rsidP="00A20661">
      <w:pPr>
        <w:pStyle w:val="NoSpacing"/>
        <w:jc w:val="center"/>
        <w:rPr>
          <w:b/>
        </w:rPr>
      </w:pPr>
    </w:p>
    <w:p w14:paraId="3E898E3F" w14:textId="27BB757C" w:rsidR="00A20661" w:rsidRDefault="002935D0" w:rsidP="00197059">
      <w:pPr>
        <w:pStyle w:val="NoSpacing"/>
        <w:numPr>
          <w:ilvl w:val="0"/>
          <w:numId w:val="1"/>
        </w:numPr>
      </w:pPr>
      <w:r>
        <w:rPr>
          <w:b/>
        </w:rPr>
        <w:t xml:space="preserve">How many opioid </w:t>
      </w:r>
      <w:r w:rsidR="00A20661" w:rsidRPr="002935D0">
        <w:rPr>
          <w:b/>
        </w:rPr>
        <w:t>overdoses occurred in 2014 in the greater Worcester area?</w:t>
      </w:r>
      <w:r w:rsidR="0096480E">
        <w:t xml:space="preserve">  There were a total of 1,534 documented non-fatal overdoses and 22 documented fatal overdoses in the greater Worcester area in 2009.</w:t>
      </w:r>
      <w:r w:rsidR="00197059">
        <w:rPr>
          <w:rStyle w:val="FootnoteReference"/>
        </w:rPr>
        <w:footnoteReference w:id="1"/>
      </w:r>
      <w:r w:rsidR="0096480E">
        <w:t xml:space="preserve">  Using these numbers, we can estimate that the probability of death given an overdose is 1.4</w:t>
      </w:r>
      <w:r w:rsidR="00197059">
        <w:t>1</w:t>
      </w:r>
      <w:r w:rsidR="0096480E">
        <w:t>%.</w:t>
      </w:r>
      <w:r w:rsidR="007B69F2">
        <w:t xml:space="preserve">  We can also narrow down rates to towns, </w:t>
      </w:r>
      <w:r w:rsidR="00CB555D">
        <w:t>as shown in the following table.  Combining the towns outside of Worcester, we see that the death rate was lower in Worcester, given an overdose.  The d</w:t>
      </w:r>
      <w:r w:rsidR="00EB5741">
        <w:t>eath rate in Worcester was 1.25%, compared with 2.51</w:t>
      </w:r>
      <w:r w:rsidR="00CB555D">
        <w:t>% for the surrounding towns.</w:t>
      </w:r>
    </w:p>
    <w:p w14:paraId="4BBB33DB" w14:textId="77777777" w:rsidR="007B69F2" w:rsidRDefault="007B69F2" w:rsidP="007B69F2">
      <w:pPr>
        <w:pStyle w:val="NoSpacing"/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466"/>
      </w:tblGrid>
      <w:tr w:rsidR="007B69F2" w14:paraId="3D682C72" w14:textId="77777777" w:rsidTr="007B69F2">
        <w:tc>
          <w:tcPr>
            <w:tcW w:w="2214" w:type="dxa"/>
          </w:tcPr>
          <w:p w14:paraId="24AA410C" w14:textId="21317A77" w:rsidR="007B69F2" w:rsidRPr="007B69F2" w:rsidRDefault="007B69F2" w:rsidP="007B69F2">
            <w:pPr>
              <w:pStyle w:val="NoSpacing"/>
              <w:rPr>
                <w:b/>
              </w:rPr>
            </w:pPr>
            <w:r w:rsidRPr="007B69F2">
              <w:rPr>
                <w:b/>
              </w:rPr>
              <w:t>City</w:t>
            </w:r>
          </w:p>
        </w:tc>
        <w:tc>
          <w:tcPr>
            <w:tcW w:w="2214" w:type="dxa"/>
          </w:tcPr>
          <w:p w14:paraId="328E2ED2" w14:textId="0233F95B" w:rsidR="007B69F2" w:rsidRPr="007B69F2" w:rsidRDefault="007B69F2" w:rsidP="007B69F2">
            <w:pPr>
              <w:pStyle w:val="NoSpacing"/>
              <w:rPr>
                <w:b/>
              </w:rPr>
            </w:pPr>
            <w:r w:rsidRPr="007B69F2">
              <w:rPr>
                <w:b/>
              </w:rPr>
              <w:t>2009 Deaths</w:t>
            </w:r>
          </w:p>
        </w:tc>
        <w:tc>
          <w:tcPr>
            <w:tcW w:w="2214" w:type="dxa"/>
          </w:tcPr>
          <w:p w14:paraId="13A6F061" w14:textId="01D23BBE" w:rsidR="007B69F2" w:rsidRPr="007B69F2" w:rsidRDefault="007B69F2" w:rsidP="007B69F2">
            <w:pPr>
              <w:pStyle w:val="NoSpacing"/>
              <w:rPr>
                <w:b/>
              </w:rPr>
            </w:pPr>
            <w:r w:rsidRPr="007B69F2">
              <w:rPr>
                <w:b/>
              </w:rPr>
              <w:t>2009 Overdoses</w:t>
            </w:r>
          </w:p>
        </w:tc>
        <w:tc>
          <w:tcPr>
            <w:tcW w:w="2466" w:type="dxa"/>
          </w:tcPr>
          <w:p w14:paraId="066074A9" w14:textId="68292311" w:rsidR="007B69F2" w:rsidRPr="007B69F2" w:rsidRDefault="007B69F2" w:rsidP="007B69F2">
            <w:pPr>
              <w:pStyle w:val="NoSpacing"/>
              <w:rPr>
                <w:b/>
              </w:rPr>
            </w:pPr>
            <w:r w:rsidRPr="007B69F2">
              <w:rPr>
                <w:b/>
              </w:rPr>
              <w:t>2009 OD Death Rate</w:t>
            </w:r>
          </w:p>
        </w:tc>
      </w:tr>
      <w:tr w:rsidR="007B69F2" w14:paraId="693CE67D" w14:textId="77777777" w:rsidTr="007B69F2">
        <w:tc>
          <w:tcPr>
            <w:tcW w:w="2214" w:type="dxa"/>
          </w:tcPr>
          <w:p w14:paraId="607DDBF7" w14:textId="794AA157" w:rsidR="007B69F2" w:rsidRDefault="007B69F2" w:rsidP="007B69F2">
            <w:pPr>
              <w:pStyle w:val="NoSpacing"/>
            </w:pPr>
            <w:r>
              <w:t>Worcester</w:t>
            </w:r>
          </w:p>
        </w:tc>
        <w:tc>
          <w:tcPr>
            <w:tcW w:w="2214" w:type="dxa"/>
          </w:tcPr>
          <w:p w14:paraId="576C88AB" w14:textId="65C9E171" w:rsidR="007B69F2" w:rsidRDefault="007B69F2" w:rsidP="007B69F2">
            <w:pPr>
              <w:pStyle w:val="NoSpacing"/>
            </w:pPr>
            <w:r>
              <w:t>17</w:t>
            </w:r>
          </w:p>
        </w:tc>
        <w:tc>
          <w:tcPr>
            <w:tcW w:w="2214" w:type="dxa"/>
          </w:tcPr>
          <w:p w14:paraId="79C3DE36" w14:textId="0CDA9E18" w:rsidR="007B69F2" w:rsidRDefault="007B69F2" w:rsidP="007B69F2">
            <w:pPr>
              <w:pStyle w:val="NoSpacing"/>
            </w:pPr>
            <w:r>
              <w:t>1,357</w:t>
            </w:r>
          </w:p>
        </w:tc>
        <w:tc>
          <w:tcPr>
            <w:tcW w:w="2466" w:type="dxa"/>
          </w:tcPr>
          <w:p w14:paraId="6A30B281" w14:textId="45C9B138" w:rsidR="007B69F2" w:rsidRDefault="007B69F2" w:rsidP="007B69F2">
            <w:pPr>
              <w:pStyle w:val="NoSpacing"/>
            </w:pPr>
            <w:r>
              <w:t>1.253%</w:t>
            </w:r>
          </w:p>
        </w:tc>
      </w:tr>
      <w:tr w:rsidR="007B69F2" w14:paraId="01ACDA6F" w14:textId="77777777" w:rsidTr="007B69F2">
        <w:tc>
          <w:tcPr>
            <w:tcW w:w="2214" w:type="dxa"/>
          </w:tcPr>
          <w:p w14:paraId="60632B44" w14:textId="3F1C8516" w:rsidR="007B69F2" w:rsidRDefault="007B69F2" w:rsidP="007B69F2">
            <w:pPr>
              <w:pStyle w:val="NoSpacing"/>
            </w:pPr>
            <w:r>
              <w:t>Holden</w:t>
            </w:r>
          </w:p>
        </w:tc>
        <w:tc>
          <w:tcPr>
            <w:tcW w:w="2214" w:type="dxa"/>
          </w:tcPr>
          <w:p w14:paraId="577FB215" w14:textId="39EFC3BA" w:rsidR="007B69F2" w:rsidRDefault="007B69F2" w:rsidP="007B69F2">
            <w:pPr>
              <w:pStyle w:val="NoSpacing"/>
            </w:pPr>
            <w:r>
              <w:t>1</w:t>
            </w:r>
          </w:p>
        </w:tc>
        <w:tc>
          <w:tcPr>
            <w:tcW w:w="2214" w:type="dxa"/>
          </w:tcPr>
          <w:p w14:paraId="58DFBC6C" w14:textId="0495E468" w:rsidR="007B69F2" w:rsidRDefault="007B69F2" w:rsidP="007B69F2">
            <w:pPr>
              <w:pStyle w:val="NoSpacing"/>
            </w:pPr>
            <w:r>
              <w:t>26</w:t>
            </w:r>
          </w:p>
        </w:tc>
        <w:tc>
          <w:tcPr>
            <w:tcW w:w="2466" w:type="dxa"/>
          </w:tcPr>
          <w:p w14:paraId="1A4C718C" w14:textId="65A08137" w:rsidR="007B69F2" w:rsidRDefault="007B69F2" w:rsidP="007B69F2">
            <w:pPr>
              <w:pStyle w:val="NoSpacing"/>
            </w:pPr>
            <w:r>
              <w:t>3.846%</w:t>
            </w:r>
          </w:p>
        </w:tc>
      </w:tr>
      <w:tr w:rsidR="007B69F2" w14:paraId="0A83FE3B" w14:textId="77777777" w:rsidTr="007B69F2">
        <w:tc>
          <w:tcPr>
            <w:tcW w:w="2214" w:type="dxa"/>
          </w:tcPr>
          <w:p w14:paraId="5F448E3E" w14:textId="442A7EEC" w:rsidR="007B69F2" w:rsidRDefault="007B69F2" w:rsidP="007B69F2">
            <w:pPr>
              <w:pStyle w:val="NoSpacing"/>
            </w:pPr>
            <w:r>
              <w:t>Leicester</w:t>
            </w:r>
          </w:p>
        </w:tc>
        <w:tc>
          <w:tcPr>
            <w:tcW w:w="2214" w:type="dxa"/>
          </w:tcPr>
          <w:p w14:paraId="6411CA06" w14:textId="3E349B93" w:rsidR="007B69F2" w:rsidRDefault="007B69F2" w:rsidP="007B69F2">
            <w:pPr>
              <w:pStyle w:val="NoSpacing"/>
            </w:pPr>
            <w:r>
              <w:t>1</w:t>
            </w:r>
          </w:p>
        </w:tc>
        <w:tc>
          <w:tcPr>
            <w:tcW w:w="2214" w:type="dxa"/>
          </w:tcPr>
          <w:p w14:paraId="19802F6F" w14:textId="05682BA6" w:rsidR="007B69F2" w:rsidRDefault="007B69F2" w:rsidP="007B69F2">
            <w:pPr>
              <w:pStyle w:val="NoSpacing"/>
            </w:pPr>
            <w:r>
              <w:t>28</w:t>
            </w:r>
          </w:p>
        </w:tc>
        <w:tc>
          <w:tcPr>
            <w:tcW w:w="2466" w:type="dxa"/>
          </w:tcPr>
          <w:p w14:paraId="65A87456" w14:textId="598A0CF2" w:rsidR="007B69F2" w:rsidRDefault="007B69F2" w:rsidP="007B69F2">
            <w:pPr>
              <w:pStyle w:val="NoSpacing"/>
            </w:pPr>
            <w:r>
              <w:t>3.571%</w:t>
            </w:r>
          </w:p>
        </w:tc>
      </w:tr>
      <w:tr w:rsidR="007B69F2" w14:paraId="47686C0D" w14:textId="77777777" w:rsidTr="007B69F2">
        <w:tc>
          <w:tcPr>
            <w:tcW w:w="2214" w:type="dxa"/>
          </w:tcPr>
          <w:p w14:paraId="04BCE1FF" w14:textId="2D540D16" w:rsidR="007B69F2" w:rsidRDefault="007B69F2" w:rsidP="007B69F2">
            <w:pPr>
              <w:pStyle w:val="NoSpacing"/>
            </w:pPr>
            <w:r>
              <w:t>Millbury</w:t>
            </w:r>
          </w:p>
        </w:tc>
        <w:tc>
          <w:tcPr>
            <w:tcW w:w="2214" w:type="dxa"/>
          </w:tcPr>
          <w:p w14:paraId="5D36AED4" w14:textId="03412A8D" w:rsidR="007B69F2" w:rsidRDefault="007B69F2" w:rsidP="007B69F2">
            <w:pPr>
              <w:pStyle w:val="NoSpacing"/>
            </w:pPr>
            <w:r>
              <w:t>2</w:t>
            </w:r>
          </w:p>
        </w:tc>
        <w:tc>
          <w:tcPr>
            <w:tcW w:w="2214" w:type="dxa"/>
          </w:tcPr>
          <w:p w14:paraId="15DDE7E4" w14:textId="085F25D2" w:rsidR="007B69F2" w:rsidRDefault="007B69F2" w:rsidP="007B69F2">
            <w:pPr>
              <w:pStyle w:val="NoSpacing"/>
            </w:pPr>
            <w:r>
              <w:t>53</w:t>
            </w:r>
          </w:p>
        </w:tc>
        <w:tc>
          <w:tcPr>
            <w:tcW w:w="2466" w:type="dxa"/>
          </w:tcPr>
          <w:p w14:paraId="7D15C661" w14:textId="201F8452" w:rsidR="007B69F2" w:rsidRDefault="007B69F2" w:rsidP="007B69F2">
            <w:pPr>
              <w:pStyle w:val="NoSpacing"/>
            </w:pPr>
            <w:r>
              <w:t>3.922%</w:t>
            </w:r>
          </w:p>
        </w:tc>
      </w:tr>
      <w:tr w:rsidR="007B69F2" w14:paraId="1A80A236" w14:textId="77777777" w:rsidTr="007B69F2">
        <w:tc>
          <w:tcPr>
            <w:tcW w:w="2214" w:type="dxa"/>
          </w:tcPr>
          <w:p w14:paraId="0C060F75" w14:textId="0C86C74F" w:rsidR="007B69F2" w:rsidRDefault="007B69F2" w:rsidP="007B69F2">
            <w:pPr>
              <w:pStyle w:val="NoSpacing"/>
            </w:pPr>
            <w:r>
              <w:t>Shrewsbury</w:t>
            </w:r>
          </w:p>
        </w:tc>
        <w:tc>
          <w:tcPr>
            <w:tcW w:w="2214" w:type="dxa"/>
          </w:tcPr>
          <w:p w14:paraId="5F8BC216" w14:textId="760A1605" w:rsidR="007B69F2" w:rsidRDefault="007B69F2" w:rsidP="007B69F2">
            <w:pPr>
              <w:pStyle w:val="NoSpacing"/>
            </w:pPr>
            <w:r>
              <w:t>1</w:t>
            </w:r>
          </w:p>
        </w:tc>
        <w:tc>
          <w:tcPr>
            <w:tcW w:w="2214" w:type="dxa"/>
          </w:tcPr>
          <w:p w14:paraId="0FA1A3E1" w14:textId="453AAAB4" w:rsidR="007B69F2" w:rsidRDefault="007B69F2" w:rsidP="007B69F2">
            <w:pPr>
              <w:pStyle w:val="NoSpacing"/>
            </w:pPr>
            <w:r>
              <w:t>58</w:t>
            </w:r>
          </w:p>
        </w:tc>
        <w:tc>
          <w:tcPr>
            <w:tcW w:w="2466" w:type="dxa"/>
          </w:tcPr>
          <w:p w14:paraId="4718B911" w14:textId="4504911C" w:rsidR="007B69F2" w:rsidRDefault="00232435" w:rsidP="007B69F2">
            <w:pPr>
              <w:pStyle w:val="NoSpacing"/>
            </w:pPr>
            <w:r>
              <w:t>1.724%</w:t>
            </w:r>
          </w:p>
        </w:tc>
      </w:tr>
      <w:tr w:rsidR="007B69F2" w14:paraId="5F537EB9" w14:textId="77777777" w:rsidTr="007B69F2">
        <w:tc>
          <w:tcPr>
            <w:tcW w:w="2214" w:type="dxa"/>
          </w:tcPr>
          <w:p w14:paraId="53DBADB5" w14:textId="2998CBA9" w:rsidR="007B69F2" w:rsidRDefault="007B69F2" w:rsidP="007B69F2">
            <w:pPr>
              <w:pStyle w:val="NoSpacing"/>
            </w:pPr>
            <w:r>
              <w:t>West Boylston</w:t>
            </w:r>
          </w:p>
        </w:tc>
        <w:tc>
          <w:tcPr>
            <w:tcW w:w="2214" w:type="dxa"/>
          </w:tcPr>
          <w:p w14:paraId="2DA3EC85" w14:textId="7BFBC3DD" w:rsidR="007B69F2" w:rsidRDefault="007B69F2" w:rsidP="007B69F2">
            <w:pPr>
              <w:pStyle w:val="NoSpacing"/>
            </w:pPr>
            <w:r>
              <w:t>0</w:t>
            </w:r>
          </w:p>
        </w:tc>
        <w:tc>
          <w:tcPr>
            <w:tcW w:w="2214" w:type="dxa"/>
          </w:tcPr>
          <w:p w14:paraId="04B57626" w14:textId="76B384D1" w:rsidR="007B69F2" w:rsidRDefault="007B69F2" w:rsidP="007B69F2">
            <w:pPr>
              <w:pStyle w:val="NoSpacing"/>
            </w:pPr>
            <w:r>
              <w:t>34</w:t>
            </w:r>
          </w:p>
        </w:tc>
        <w:tc>
          <w:tcPr>
            <w:tcW w:w="2466" w:type="dxa"/>
          </w:tcPr>
          <w:p w14:paraId="40823C63" w14:textId="6D814452" w:rsidR="007B69F2" w:rsidRDefault="00232435" w:rsidP="001F2987">
            <w:pPr>
              <w:pStyle w:val="NoSpacing"/>
            </w:pPr>
            <w:r>
              <w:t>0.000%</w:t>
            </w:r>
            <w:r w:rsidR="001F2987">
              <w:rPr>
                <w:rStyle w:val="FootnoteReference"/>
              </w:rPr>
              <w:t>3</w:t>
            </w:r>
          </w:p>
        </w:tc>
      </w:tr>
    </w:tbl>
    <w:p w14:paraId="513A2151" w14:textId="77777777" w:rsidR="007B69F2" w:rsidRDefault="007B69F2" w:rsidP="007B69F2">
      <w:pPr>
        <w:pStyle w:val="NoSpacing"/>
      </w:pPr>
    </w:p>
    <w:p w14:paraId="2D366AC8" w14:textId="1ABF37A0" w:rsidR="00746F29" w:rsidRDefault="00EB5741" w:rsidP="007B69F2">
      <w:pPr>
        <w:pStyle w:val="NoSpacing"/>
      </w:pPr>
      <w:r>
        <w:t>Worcester’s death rate given an overdose was also lower than that of Massachusetts as a whole in 2009, which was 1.63%.  This was down for Massachusetts however from 2007, when the death rate given an overdose was 2.08%.</w:t>
      </w:r>
      <w:r>
        <w:rPr>
          <w:rStyle w:val="FootnoteReference"/>
        </w:rPr>
        <w:footnoteReference w:id="2"/>
      </w:r>
    </w:p>
    <w:p w14:paraId="38082619" w14:textId="77777777" w:rsidR="00746F29" w:rsidRDefault="00746F29" w:rsidP="007B69F2">
      <w:pPr>
        <w:pStyle w:val="NoSpacing"/>
      </w:pPr>
    </w:p>
    <w:p w14:paraId="6D3F3716" w14:textId="525AAAD1" w:rsidR="00D803FF" w:rsidRDefault="00D803FF" w:rsidP="00197059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What were the OD rates by town?</w:t>
      </w:r>
    </w:p>
    <w:p w14:paraId="2D312B66" w14:textId="77777777" w:rsidR="00D803FF" w:rsidRDefault="00D803FF" w:rsidP="00D803FF">
      <w:pPr>
        <w:pStyle w:val="NoSpacing"/>
        <w:rPr>
          <w:b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466"/>
      </w:tblGrid>
      <w:tr w:rsidR="00D803FF" w:rsidRPr="007B69F2" w14:paraId="14F6F05F" w14:textId="77777777" w:rsidTr="00D803FF">
        <w:tc>
          <w:tcPr>
            <w:tcW w:w="2214" w:type="dxa"/>
          </w:tcPr>
          <w:p w14:paraId="02B9C0A2" w14:textId="77777777" w:rsidR="00D803FF" w:rsidRPr="007B69F2" w:rsidRDefault="00D803FF" w:rsidP="00D803FF">
            <w:pPr>
              <w:pStyle w:val="NoSpacing"/>
              <w:rPr>
                <w:b/>
              </w:rPr>
            </w:pPr>
            <w:r w:rsidRPr="007B69F2">
              <w:rPr>
                <w:b/>
              </w:rPr>
              <w:t>City</w:t>
            </w:r>
          </w:p>
        </w:tc>
        <w:tc>
          <w:tcPr>
            <w:tcW w:w="2214" w:type="dxa"/>
          </w:tcPr>
          <w:p w14:paraId="2B1FC964" w14:textId="1AE147F0" w:rsidR="00D803FF" w:rsidRPr="007B69F2" w:rsidRDefault="00D803FF" w:rsidP="00D803FF">
            <w:pPr>
              <w:pStyle w:val="NoSpacing"/>
              <w:rPr>
                <w:b/>
              </w:rPr>
            </w:pPr>
            <w:r w:rsidRPr="007B69F2">
              <w:rPr>
                <w:b/>
              </w:rPr>
              <w:t>20</w:t>
            </w:r>
            <w:r>
              <w:rPr>
                <w:b/>
              </w:rPr>
              <w:t>10 Population</w:t>
            </w:r>
          </w:p>
        </w:tc>
        <w:tc>
          <w:tcPr>
            <w:tcW w:w="2214" w:type="dxa"/>
          </w:tcPr>
          <w:p w14:paraId="7D7DC031" w14:textId="77777777" w:rsidR="00D803FF" w:rsidRPr="007B69F2" w:rsidRDefault="00D803FF" w:rsidP="00D803FF">
            <w:pPr>
              <w:pStyle w:val="NoSpacing"/>
              <w:rPr>
                <w:b/>
              </w:rPr>
            </w:pPr>
            <w:r w:rsidRPr="007B69F2">
              <w:rPr>
                <w:b/>
              </w:rPr>
              <w:t>2009 Overdoses</w:t>
            </w:r>
          </w:p>
        </w:tc>
        <w:tc>
          <w:tcPr>
            <w:tcW w:w="2466" w:type="dxa"/>
          </w:tcPr>
          <w:p w14:paraId="5C4317DA" w14:textId="4F918D1D" w:rsidR="00D803FF" w:rsidRPr="007B69F2" w:rsidRDefault="00D803FF" w:rsidP="00D803FF">
            <w:pPr>
              <w:pStyle w:val="NoSpacing"/>
              <w:rPr>
                <w:b/>
              </w:rPr>
            </w:pPr>
            <w:r w:rsidRPr="007B69F2">
              <w:rPr>
                <w:b/>
              </w:rPr>
              <w:t>2009 OD Rate</w:t>
            </w:r>
          </w:p>
        </w:tc>
      </w:tr>
      <w:tr w:rsidR="00D803FF" w14:paraId="48A2F2F1" w14:textId="77777777" w:rsidTr="00D803FF">
        <w:tc>
          <w:tcPr>
            <w:tcW w:w="2214" w:type="dxa"/>
          </w:tcPr>
          <w:p w14:paraId="60702EBF" w14:textId="77777777" w:rsidR="00D803FF" w:rsidRDefault="00D803FF" w:rsidP="00D803FF">
            <w:pPr>
              <w:pStyle w:val="NoSpacing"/>
            </w:pPr>
            <w:r>
              <w:t>Worcester</w:t>
            </w:r>
          </w:p>
        </w:tc>
        <w:tc>
          <w:tcPr>
            <w:tcW w:w="2214" w:type="dxa"/>
          </w:tcPr>
          <w:p w14:paraId="4ABE451B" w14:textId="035D6764" w:rsidR="00D803FF" w:rsidRDefault="00D803FF" w:rsidP="00D803FF">
            <w:pPr>
              <w:pStyle w:val="NoSpacing"/>
            </w:pPr>
            <w:r>
              <w:t>181,045</w:t>
            </w:r>
          </w:p>
        </w:tc>
        <w:tc>
          <w:tcPr>
            <w:tcW w:w="2214" w:type="dxa"/>
          </w:tcPr>
          <w:p w14:paraId="006DEFFC" w14:textId="77777777" w:rsidR="00D803FF" w:rsidRDefault="00D803FF" w:rsidP="00D803FF">
            <w:pPr>
              <w:pStyle w:val="NoSpacing"/>
            </w:pPr>
            <w:r>
              <w:t>1,357</w:t>
            </w:r>
          </w:p>
        </w:tc>
        <w:tc>
          <w:tcPr>
            <w:tcW w:w="2466" w:type="dxa"/>
          </w:tcPr>
          <w:p w14:paraId="149C3B7D" w14:textId="68A40F26" w:rsidR="00D803FF" w:rsidRDefault="00D803FF" w:rsidP="00D803FF">
            <w:pPr>
              <w:pStyle w:val="NoSpacing"/>
            </w:pPr>
            <w:r>
              <w:t>0.750%</w:t>
            </w:r>
          </w:p>
        </w:tc>
      </w:tr>
      <w:tr w:rsidR="00D803FF" w14:paraId="5DB6D01C" w14:textId="77777777" w:rsidTr="00D803FF">
        <w:tc>
          <w:tcPr>
            <w:tcW w:w="2214" w:type="dxa"/>
          </w:tcPr>
          <w:p w14:paraId="2E4EE64D" w14:textId="77777777" w:rsidR="00D803FF" w:rsidRDefault="00D803FF" w:rsidP="00D803FF">
            <w:pPr>
              <w:pStyle w:val="NoSpacing"/>
            </w:pPr>
            <w:r>
              <w:t>Holden</w:t>
            </w:r>
          </w:p>
        </w:tc>
        <w:tc>
          <w:tcPr>
            <w:tcW w:w="2214" w:type="dxa"/>
          </w:tcPr>
          <w:p w14:paraId="23E5D292" w14:textId="0202891C" w:rsidR="00D803FF" w:rsidRDefault="00D803FF" w:rsidP="00D803FF">
            <w:pPr>
              <w:pStyle w:val="NoSpacing"/>
            </w:pPr>
            <w:r>
              <w:t>17,346</w:t>
            </w:r>
          </w:p>
        </w:tc>
        <w:tc>
          <w:tcPr>
            <w:tcW w:w="2214" w:type="dxa"/>
          </w:tcPr>
          <w:p w14:paraId="42CBE02A" w14:textId="77777777" w:rsidR="00D803FF" w:rsidRDefault="00D803FF" w:rsidP="00D803FF">
            <w:pPr>
              <w:pStyle w:val="NoSpacing"/>
            </w:pPr>
            <w:r>
              <w:t>26</w:t>
            </w:r>
          </w:p>
        </w:tc>
        <w:tc>
          <w:tcPr>
            <w:tcW w:w="2466" w:type="dxa"/>
          </w:tcPr>
          <w:p w14:paraId="22637CC8" w14:textId="2B4CC745" w:rsidR="00D803FF" w:rsidRDefault="00D803FF" w:rsidP="00D803FF">
            <w:pPr>
              <w:pStyle w:val="NoSpacing"/>
            </w:pPr>
            <w:r>
              <w:t>0.150%</w:t>
            </w:r>
          </w:p>
        </w:tc>
      </w:tr>
      <w:tr w:rsidR="00D803FF" w14:paraId="17AD068C" w14:textId="77777777" w:rsidTr="00D803FF">
        <w:tc>
          <w:tcPr>
            <w:tcW w:w="2214" w:type="dxa"/>
          </w:tcPr>
          <w:p w14:paraId="495A98A4" w14:textId="77777777" w:rsidR="00D803FF" w:rsidRDefault="00D803FF" w:rsidP="00D803FF">
            <w:pPr>
              <w:pStyle w:val="NoSpacing"/>
            </w:pPr>
            <w:r>
              <w:t>Leicester</w:t>
            </w:r>
          </w:p>
        </w:tc>
        <w:tc>
          <w:tcPr>
            <w:tcW w:w="2214" w:type="dxa"/>
          </w:tcPr>
          <w:p w14:paraId="339E9695" w14:textId="1958B74A" w:rsidR="00D803FF" w:rsidRDefault="00D803FF" w:rsidP="00D803FF">
            <w:pPr>
              <w:pStyle w:val="NoSpacing"/>
            </w:pPr>
            <w:r>
              <w:t>10,790</w:t>
            </w:r>
          </w:p>
        </w:tc>
        <w:tc>
          <w:tcPr>
            <w:tcW w:w="2214" w:type="dxa"/>
          </w:tcPr>
          <w:p w14:paraId="6603A526" w14:textId="77777777" w:rsidR="00D803FF" w:rsidRDefault="00D803FF" w:rsidP="00D803FF">
            <w:pPr>
              <w:pStyle w:val="NoSpacing"/>
            </w:pPr>
            <w:r>
              <w:t>28</w:t>
            </w:r>
          </w:p>
        </w:tc>
        <w:tc>
          <w:tcPr>
            <w:tcW w:w="2466" w:type="dxa"/>
          </w:tcPr>
          <w:p w14:paraId="34E38689" w14:textId="0779ECCA" w:rsidR="00D803FF" w:rsidRDefault="00D803FF" w:rsidP="00D803FF">
            <w:pPr>
              <w:pStyle w:val="NoSpacing"/>
            </w:pPr>
            <w:r>
              <w:t>0.260%</w:t>
            </w:r>
          </w:p>
        </w:tc>
      </w:tr>
      <w:tr w:rsidR="00D803FF" w14:paraId="5FBC58BF" w14:textId="77777777" w:rsidTr="00D803FF">
        <w:tc>
          <w:tcPr>
            <w:tcW w:w="2214" w:type="dxa"/>
          </w:tcPr>
          <w:p w14:paraId="63E0D4FE" w14:textId="77777777" w:rsidR="00D803FF" w:rsidRDefault="00D803FF" w:rsidP="00D803FF">
            <w:pPr>
              <w:pStyle w:val="NoSpacing"/>
            </w:pPr>
            <w:r>
              <w:t>Millbury</w:t>
            </w:r>
          </w:p>
        </w:tc>
        <w:tc>
          <w:tcPr>
            <w:tcW w:w="2214" w:type="dxa"/>
          </w:tcPr>
          <w:p w14:paraId="4357ED97" w14:textId="68FF31C8" w:rsidR="00D803FF" w:rsidRDefault="00D803FF" w:rsidP="00D803FF">
            <w:pPr>
              <w:pStyle w:val="NoSpacing"/>
            </w:pPr>
            <w:r>
              <w:t>13,261</w:t>
            </w:r>
          </w:p>
        </w:tc>
        <w:tc>
          <w:tcPr>
            <w:tcW w:w="2214" w:type="dxa"/>
          </w:tcPr>
          <w:p w14:paraId="1F42811D" w14:textId="77777777" w:rsidR="00D803FF" w:rsidRDefault="00D803FF" w:rsidP="00D803FF">
            <w:pPr>
              <w:pStyle w:val="NoSpacing"/>
            </w:pPr>
            <w:r>
              <w:t>53</w:t>
            </w:r>
          </w:p>
        </w:tc>
        <w:tc>
          <w:tcPr>
            <w:tcW w:w="2466" w:type="dxa"/>
          </w:tcPr>
          <w:p w14:paraId="55600568" w14:textId="50FD68AE" w:rsidR="00D803FF" w:rsidRDefault="00D803FF" w:rsidP="00D803FF">
            <w:pPr>
              <w:pStyle w:val="NoSpacing"/>
            </w:pPr>
            <w:r>
              <w:t>0.400%</w:t>
            </w:r>
          </w:p>
        </w:tc>
      </w:tr>
      <w:tr w:rsidR="00D803FF" w14:paraId="19CACB15" w14:textId="77777777" w:rsidTr="00D803FF">
        <w:tc>
          <w:tcPr>
            <w:tcW w:w="2214" w:type="dxa"/>
          </w:tcPr>
          <w:p w14:paraId="57A57BCA" w14:textId="77777777" w:rsidR="00D803FF" w:rsidRDefault="00D803FF" w:rsidP="00D803FF">
            <w:pPr>
              <w:pStyle w:val="NoSpacing"/>
            </w:pPr>
            <w:r>
              <w:t>Shrewsbury</w:t>
            </w:r>
          </w:p>
        </w:tc>
        <w:tc>
          <w:tcPr>
            <w:tcW w:w="2214" w:type="dxa"/>
          </w:tcPr>
          <w:p w14:paraId="028ADD83" w14:textId="3F866D38" w:rsidR="00D803FF" w:rsidRDefault="00D803FF" w:rsidP="00D803FF">
            <w:pPr>
              <w:pStyle w:val="NoSpacing"/>
            </w:pPr>
            <w:r>
              <w:t>35,608</w:t>
            </w:r>
          </w:p>
        </w:tc>
        <w:tc>
          <w:tcPr>
            <w:tcW w:w="2214" w:type="dxa"/>
          </w:tcPr>
          <w:p w14:paraId="24609800" w14:textId="77777777" w:rsidR="00D803FF" w:rsidRDefault="00D803FF" w:rsidP="00D803FF">
            <w:pPr>
              <w:pStyle w:val="NoSpacing"/>
            </w:pPr>
            <w:r>
              <w:t>58</w:t>
            </w:r>
          </w:p>
        </w:tc>
        <w:tc>
          <w:tcPr>
            <w:tcW w:w="2466" w:type="dxa"/>
          </w:tcPr>
          <w:p w14:paraId="28B3EE54" w14:textId="03958B9B" w:rsidR="00D803FF" w:rsidRDefault="00D803FF" w:rsidP="00D803FF">
            <w:pPr>
              <w:pStyle w:val="NoSpacing"/>
            </w:pPr>
            <w:r>
              <w:t>0.163%</w:t>
            </w:r>
          </w:p>
        </w:tc>
      </w:tr>
      <w:tr w:rsidR="00D803FF" w14:paraId="7AD0E94E" w14:textId="77777777" w:rsidTr="00D803FF">
        <w:tc>
          <w:tcPr>
            <w:tcW w:w="2214" w:type="dxa"/>
          </w:tcPr>
          <w:p w14:paraId="13DDB1CF" w14:textId="77777777" w:rsidR="00D803FF" w:rsidRDefault="00D803FF" w:rsidP="00D803FF">
            <w:pPr>
              <w:pStyle w:val="NoSpacing"/>
            </w:pPr>
            <w:r>
              <w:t>West Boylston</w:t>
            </w:r>
          </w:p>
        </w:tc>
        <w:tc>
          <w:tcPr>
            <w:tcW w:w="2214" w:type="dxa"/>
          </w:tcPr>
          <w:p w14:paraId="3AFB091F" w14:textId="07E4DBB4" w:rsidR="00D803FF" w:rsidRDefault="00D803FF" w:rsidP="00D803FF">
            <w:pPr>
              <w:pStyle w:val="NoSpacing"/>
            </w:pPr>
            <w:r>
              <w:t>7,669</w:t>
            </w:r>
          </w:p>
        </w:tc>
        <w:tc>
          <w:tcPr>
            <w:tcW w:w="2214" w:type="dxa"/>
          </w:tcPr>
          <w:p w14:paraId="4B99C992" w14:textId="77777777" w:rsidR="00D803FF" w:rsidRDefault="00D803FF" w:rsidP="00D803FF">
            <w:pPr>
              <w:pStyle w:val="NoSpacing"/>
            </w:pPr>
            <w:r>
              <w:t>34</w:t>
            </w:r>
          </w:p>
        </w:tc>
        <w:tc>
          <w:tcPr>
            <w:tcW w:w="2466" w:type="dxa"/>
          </w:tcPr>
          <w:p w14:paraId="65D6C1AD" w14:textId="3AF93F1A" w:rsidR="00D803FF" w:rsidRDefault="00D803FF" w:rsidP="00D803FF">
            <w:pPr>
              <w:pStyle w:val="NoSpacing"/>
            </w:pPr>
            <w:r>
              <w:t>0.443%</w:t>
            </w:r>
          </w:p>
        </w:tc>
      </w:tr>
    </w:tbl>
    <w:p w14:paraId="660902B5" w14:textId="77777777" w:rsidR="00D803FF" w:rsidRDefault="00D803FF" w:rsidP="00D803FF">
      <w:pPr>
        <w:pStyle w:val="NoSpacing"/>
        <w:rPr>
          <w:b/>
        </w:rPr>
      </w:pPr>
      <w:bookmarkStart w:id="0" w:name="_GoBack"/>
      <w:bookmarkEnd w:id="0"/>
    </w:p>
    <w:p w14:paraId="7B57E7B1" w14:textId="77777777" w:rsidR="00D803FF" w:rsidRDefault="00D803FF" w:rsidP="00D803FF">
      <w:pPr>
        <w:pStyle w:val="NoSpacing"/>
        <w:rPr>
          <w:b/>
        </w:rPr>
      </w:pPr>
    </w:p>
    <w:p w14:paraId="3E22CDD8" w14:textId="77777777" w:rsidR="00E771BF" w:rsidRPr="002935D0" w:rsidRDefault="00E771BF" w:rsidP="00197059">
      <w:pPr>
        <w:pStyle w:val="NoSpacing"/>
        <w:numPr>
          <w:ilvl w:val="0"/>
          <w:numId w:val="1"/>
        </w:numPr>
        <w:rPr>
          <w:b/>
        </w:rPr>
      </w:pPr>
      <w:r w:rsidRPr="002935D0">
        <w:rPr>
          <w:b/>
        </w:rPr>
        <w:t>What were the reasons for BSAS admissions?  How many were overdose related?</w:t>
      </w:r>
    </w:p>
    <w:p w14:paraId="3DFB7E2C" w14:textId="74242769" w:rsidR="006665EA" w:rsidRPr="002935D0" w:rsidRDefault="006665EA" w:rsidP="00197059">
      <w:pPr>
        <w:pStyle w:val="NoSpacing"/>
        <w:numPr>
          <w:ilvl w:val="0"/>
          <w:numId w:val="1"/>
        </w:numPr>
        <w:rPr>
          <w:b/>
        </w:rPr>
      </w:pPr>
      <w:r w:rsidRPr="002935D0">
        <w:rPr>
          <w:b/>
        </w:rPr>
        <w:t>How many people are prescribed opioids each day?  What is the distribution of the length of these prescriptions?</w:t>
      </w:r>
    </w:p>
    <w:p w14:paraId="7B226E2F" w14:textId="72E9F30A" w:rsidR="000832AB" w:rsidRDefault="000832AB" w:rsidP="00197059">
      <w:pPr>
        <w:pStyle w:val="NoSpacing"/>
        <w:numPr>
          <w:ilvl w:val="0"/>
          <w:numId w:val="1"/>
        </w:numPr>
        <w:rPr>
          <w:b/>
        </w:rPr>
      </w:pPr>
      <w:r w:rsidRPr="002935D0">
        <w:rPr>
          <w:b/>
        </w:rPr>
        <w:t>Can we get raw data of the BSAS admissions?</w:t>
      </w:r>
    </w:p>
    <w:p w14:paraId="49490E68" w14:textId="3A3E0472" w:rsidR="00101DB8" w:rsidRDefault="00101DB8" w:rsidP="00197059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What is the redact flag significance </w:t>
      </w:r>
      <w:r w:rsidR="00FB5B4E">
        <w:rPr>
          <w:b/>
        </w:rPr>
        <w:t xml:space="preserve">for 2 of the columns </w:t>
      </w:r>
      <w:r>
        <w:rPr>
          <w:b/>
        </w:rPr>
        <w:t xml:space="preserve">in </w:t>
      </w:r>
      <w:r w:rsidR="00FB5B4E">
        <w:rPr>
          <w:b/>
        </w:rPr>
        <w:t xml:space="preserve">the </w:t>
      </w:r>
      <w:proofErr w:type="spellStart"/>
      <w:r w:rsidR="00FB5B4E">
        <w:rPr>
          <w:b/>
        </w:rPr>
        <w:t>medicare_d</w:t>
      </w:r>
      <w:proofErr w:type="spellEnd"/>
      <w:r w:rsidR="00FB5B4E">
        <w:rPr>
          <w:b/>
        </w:rPr>
        <w:t xml:space="preserve"> table?</w:t>
      </w:r>
    </w:p>
    <w:p w14:paraId="7DBC7632" w14:textId="3074E58B" w:rsidR="0007787C" w:rsidRDefault="00FB5B4E" w:rsidP="0007787C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What is the timeframe of the data from the </w:t>
      </w:r>
      <w:proofErr w:type="spellStart"/>
      <w:r>
        <w:rPr>
          <w:b/>
        </w:rPr>
        <w:t>medicare_d</w:t>
      </w:r>
      <w:proofErr w:type="spellEnd"/>
      <w:r>
        <w:rPr>
          <w:b/>
        </w:rPr>
        <w:t xml:space="preserve"> table?</w:t>
      </w:r>
    </w:p>
    <w:p w14:paraId="0F96E58F" w14:textId="77511A13" w:rsidR="0007787C" w:rsidRPr="0007787C" w:rsidRDefault="0007787C" w:rsidP="0007787C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What percentage of each town is on Medicare?</w:t>
      </w:r>
      <w:r>
        <w:t xml:space="preserve">  There were 1,039,000 Medicare enrollees in Massachusetts in 2009.</w:t>
      </w:r>
      <w:r>
        <w:rPr>
          <w:rStyle w:val="FootnoteReference"/>
        </w:rPr>
        <w:t>4</w:t>
      </w:r>
      <w:r>
        <w:t xml:space="preserve">  This was approximately 16% of the population.</w:t>
      </w:r>
    </w:p>
    <w:p w14:paraId="05F41862" w14:textId="77777777" w:rsidR="0007787C" w:rsidRPr="0007787C" w:rsidRDefault="0007787C" w:rsidP="0007787C">
      <w:pPr>
        <w:pStyle w:val="NoSpacing"/>
        <w:rPr>
          <w:b/>
        </w:rPr>
      </w:pPr>
    </w:p>
    <w:sectPr w:rsidR="0007787C" w:rsidRPr="0007787C" w:rsidSect="00F37115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9D35B" w14:textId="77777777" w:rsidR="006C4463" w:rsidRDefault="006C4463" w:rsidP="00197059">
      <w:r>
        <w:separator/>
      </w:r>
    </w:p>
  </w:endnote>
  <w:endnote w:type="continuationSeparator" w:id="0">
    <w:p w14:paraId="1E1B248E" w14:textId="77777777" w:rsidR="006C4463" w:rsidRDefault="006C4463" w:rsidP="0019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61478" w14:textId="77777777" w:rsidR="006C4463" w:rsidRDefault="006C4463" w:rsidP="00197059">
      <w:r>
        <w:separator/>
      </w:r>
    </w:p>
  </w:footnote>
  <w:footnote w:type="continuationSeparator" w:id="0">
    <w:p w14:paraId="41249B90" w14:textId="77777777" w:rsidR="006C4463" w:rsidRDefault="006C4463" w:rsidP="00197059">
      <w:r>
        <w:continuationSeparator/>
      </w:r>
    </w:p>
  </w:footnote>
  <w:footnote w:id="1">
    <w:p w14:paraId="51753070" w14:textId="77777777" w:rsidR="006C4463" w:rsidRDefault="006C4463" w:rsidP="00197059">
      <w:pPr>
        <w:pStyle w:val="NoSpacing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F6D47">
          <w:rPr>
            <w:rStyle w:val="Hyperlink"/>
          </w:rPr>
          <w:t>http://www.mass.gov/eohhs/docs/dph/injury-surveillance/overdose/opioid-nf-related-cases-town-fy09.pdf</w:t>
        </w:r>
      </w:hyperlink>
    </w:p>
    <w:p w14:paraId="17D006EA" w14:textId="77777777" w:rsidR="006C4463" w:rsidRDefault="006C4463">
      <w:pPr>
        <w:pStyle w:val="FootnoteText"/>
      </w:pPr>
    </w:p>
  </w:footnote>
  <w:footnote w:id="2">
    <w:p w14:paraId="0B1E8624" w14:textId="278DB267" w:rsidR="006C4463" w:rsidRDefault="006C4463" w:rsidP="00EB5741">
      <w:pPr>
        <w:pStyle w:val="NoSpacing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BE3A5E">
          <w:rPr>
            <w:rStyle w:val="Hyperlink"/>
          </w:rPr>
          <w:t>http://www.mass.gov/eohhs/docs/dph/injury-surveillance/overdose/opioid-trends-2009.pdf</w:t>
        </w:r>
      </w:hyperlink>
    </w:p>
    <w:p w14:paraId="6C9ED782" w14:textId="77777777" w:rsidR="006C4463" w:rsidRDefault="006C4463" w:rsidP="00EB5741">
      <w:pPr>
        <w:pStyle w:val="NoSpacing"/>
      </w:pPr>
    </w:p>
    <w:p w14:paraId="62B5EC76" w14:textId="4BF9251A" w:rsidR="006C4463" w:rsidRDefault="006C4463" w:rsidP="001F2987">
      <w:pPr>
        <w:pStyle w:val="NoSpacing"/>
      </w:pPr>
      <w:r>
        <w:rPr>
          <w:rStyle w:val="FootnoteReference"/>
        </w:rPr>
        <w:t>3</w:t>
      </w:r>
      <w:r>
        <w:t xml:space="preserve"> Because the percentage of overdoses resulting in death was likely greater than 0 for a 10-year period in the city of West Boylston, we assumed it was .01 by default.</w:t>
      </w:r>
    </w:p>
    <w:p w14:paraId="73B1DBF3" w14:textId="77777777" w:rsidR="006C4463" w:rsidRDefault="006C4463" w:rsidP="001F2987">
      <w:pPr>
        <w:pStyle w:val="NoSpacing"/>
      </w:pPr>
    </w:p>
    <w:p w14:paraId="094FEA59" w14:textId="16EB2A5A" w:rsidR="006C4463" w:rsidRDefault="006C4463" w:rsidP="001F2987">
      <w:pPr>
        <w:pStyle w:val="NoSpacing"/>
      </w:pPr>
      <w:r>
        <w:rPr>
          <w:rStyle w:val="FootnoteReference"/>
        </w:rPr>
        <w:t>4</w:t>
      </w:r>
      <w:r>
        <w:t xml:space="preserve"> </w:t>
      </w:r>
      <w:hyperlink r:id="rId3" w:history="1">
        <w:r w:rsidRPr="00C25BA4">
          <w:rPr>
            <w:rStyle w:val="Hyperlink"/>
          </w:rPr>
          <w:t>http://www.census.gov/compendia/statab/2012/tables/12s0147.pdf</w:t>
        </w:r>
      </w:hyperlink>
    </w:p>
    <w:p w14:paraId="765BCC8A" w14:textId="77777777" w:rsidR="006C4463" w:rsidRPr="001B5D97" w:rsidRDefault="006C4463" w:rsidP="001F2987">
      <w:pPr>
        <w:pStyle w:val="NoSpacing"/>
      </w:pPr>
    </w:p>
    <w:p w14:paraId="2D0CCA14" w14:textId="77777777" w:rsidR="006C4463" w:rsidRDefault="006C4463" w:rsidP="00EB574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4FB6"/>
    <w:multiLevelType w:val="hybridMultilevel"/>
    <w:tmpl w:val="0FB8822E"/>
    <w:lvl w:ilvl="0" w:tplc="AEB02D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A7571"/>
    <w:multiLevelType w:val="hybridMultilevel"/>
    <w:tmpl w:val="496C0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61"/>
    <w:rsid w:val="0003122E"/>
    <w:rsid w:val="0007787C"/>
    <w:rsid w:val="000832AB"/>
    <w:rsid w:val="00101DB8"/>
    <w:rsid w:val="00112CE0"/>
    <w:rsid w:val="00197059"/>
    <w:rsid w:val="001B5D97"/>
    <w:rsid w:val="001D5139"/>
    <w:rsid w:val="001F2987"/>
    <w:rsid w:val="00232435"/>
    <w:rsid w:val="002935D0"/>
    <w:rsid w:val="00383939"/>
    <w:rsid w:val="00613ED9"/>
    <w:rsid w:val="006665EA"/>
    <w:rsid w:val="006C4463"/>
    <w:rsid w:val="00746F29"/>
    <w:rsid w:val="007B69F2"/>
    <w:rsid w:val="00932FCD"/>
    <w:rsid w:val="0096480E"/>
    <w:rsid w:val="009A690C"/>
    <w:rsid w:val="00A20661"/>
    <w:rsid w:val="00B97AFD"/>
    <w:rsid w:val="00BB0FC5"/>
    <w:rsid w:val="00CB555D"/>
    <w:rsid w:val="00D803FF"/>
    <w:rsid w:val="00E771BF"/>
    <w:rsid w:val="00E86B06"/>
    <w:rsid w:val="00EB5741"/>
    <w:rsid w:val="00F37115"/>
    <w:rsid w:val="00FB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780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661"/>
  </w:style>
  <w:style w:type="character" w:styleId="Hyperlink">
    <w:name w:val="Hyperlink"/>
    <w:basedOn w:val="DefaultParagraphFont"/>
    <w:uiPriority w:val="99"/>
    <w:unhideWhenUsed/>
    <w:rsid w:val="0019705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70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0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059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97059"/>
  </w:style>
  <w:style w:type="character" w:customStyle="1" w:styleId="FootnoteTextChar">
    <w:name w:val="Footnote Text Char"/>
    <w:basedOn w:val="DefaultParagraphFont"/>
    <w:link w:val="FootnoteText"/>
    <w:uiPriority w:val="99"/>
    <w:rsid w:val="00197059"/>
  </w:style>
  <w:style w:type="character" w:styleId="FootnoteReference">
    <w:name w:val="footnote reference"/>
    <w:basedOn w:val="DefaultParagraphFont"/>
    <w:uiPriority w:val="99"/>
    <w:unhideWhenUsed/>
    <w:rsid w:val="0019705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B69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B6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661"/>
  </w:style>
  <w:style w:type="character" w:styleId="Hyperlink">
    <w:name w:val="Hyperlink"/>
    <w:basedOn w:val="DefaultParagraphFont"/>
    <w:uiPriority w:val="99"/>
    <w:unhideWhenUsed/>
    <w:rsid w:val="0019705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70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0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059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97059"/>
  </w:style>
  <w:style w:type="character" w:customStyle="1" w:styleId="FootnoteTextChar">
    <w:name w:val="Footnote Text Char"/>
    <w:basedOn w:val="DefaultParagraphFont"/>
    <w:link w:val="FootnoteText"/>
    <w:uiPriority w:val="99"/>
    <w:rsid w:val="00197059"/>
  </w:style>
  <w:style w:type="character" w:styleId="FootnoteReference">
    <w:name w:val="footnote reference"/>
    <w:basedOn w:val="DefaultParagraphFont"/>
    <w:uiPriority w:val="99"/>
    <w:unhideWhenUsed/>
    <w:rsid w:val="0019705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B69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B6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ss.gov/eohhs/docs/dph/injury-surveillance/overdose/opioid-nf-related-cases-town-fy09.pdf" TargetMode="External"/><Relationship Id="rId2" Type="http://schemas.openxmlformats.org/officeDocument/2006/relationships/hyperlink" Target="http://www.mass.gov/eohhs/docs/dph/injury-surveillance/overdose/opioid-trends-2009.pdf" TargetMode="External"/><Relationship Id="rId3" Type="http://schemas.openxmlformats.org/officeDocument/2006/relationships/hyperlink" Target="http://www.census.gov/compendia/statab/2012/tables/12s01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274</Words>
  <Characters>1563</Characters>
  <Application>Microsoft Macintosh Word</Application>
  <DocSecurity>0</DocSecurity>
  <Lines>13</Lines>
  <Paragraphs>3</Paragraphs>
  <ScaleCrop>false</ScaleCrop>
  <Company>MITRE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 Anuj</dc:creator>
  <cp:keywords/>
  <dc:description/>
  <cp:lastModifiedBy>Misra Anuj</cp:lastModifiedBy>
  <cp:revision>11</cp:revision>
  <dcterms:created xsi:type="dcterms:W3CDTF">2015-09-09T14:58:00Z</dcterms:created>
  <dcterms:modified xsi:type="dcterms:W3CDTF">2015-09-24T19:20:00Z</dcterms:modified>
</cp:coreProperties>
</file>