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LoRa Communication Protocol</w:t>
      </w:r>
    </w:p>
    <w:p>
      <w:pPr>
        <w:jc w:val="center"/>
      </w:pPr>
      <w:r>
        <w:rPr>
          <w:b/>
        </w:rPr>
        <w:t>Document 10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Purpose</w:t>
      </w:r>
    </w:p>
    <w:p>
      <w:r>
        <w:t>LoRa enables long-range, low-power, low-cost communication from ESP32 nodes to Raspberry Pi hub without internet or SIM cards.</w:t>
      </w:r>
    </w:p>
    <w:p>
      <w:pPr>
        <w:pStyle w:val="Heading1"/>
      </w:pPr>
      <w:r>
        <w:t>Packet Format</w:t>
      </w:r>
    </w:p>
    <w:p>
      <w:r>
        <w:rPr>
          <w:rFonts w:ascii="Courier New" w:hAnsi="Courier New"/>
          <w:sz w:val="18"/>
        </w:rPr>
        <w:t>NODE_ID|MQ135|AQI|CATEGORY|BATTERY|TIMESTAMP</w:t>
        <w:br/>
        <w:t>Example: NODE_01|720|286|Poor|78|10:42</w:t>
      </w:r>
    </w:p>
    <w:p>
      <w:pPr>
        <w:pStyle w:val="Heading1"/>
      </w:pPr>
      <w:r>
        <w:t>Transmission Rules</w:t>
      </w:r>
    </w:p>
    <w:p>
      <w:pPr>
        <w:pStyle w:val="ListBullet"/>
      </w:pPr>
      <w:r>
        <w:t>Send packet every 30 to 60 seconds during demo.</w:t>
      </w:r>
    </w:p>
    <w:p>
      <w:pPr>
        <w:pStyle w:val="ListBullet"/>
      </w:pPr>
      <w:r>
        <w:t>Use shorter interval only for live demonstration.</w:t>
      </w:r>
    </w:p>
    <w:p>
      <w:pPr>
        <w:pStyle w:val="ListBullet"/>
      </w:pPr>
      <w:r>
        <w:t>Include node ID in every packet.</w:t>
      </w:r>
    </w:p>
    <w:p>
      <w:pPr>
        <w:pStyle w:val="ListBullet"/>
      </w:pPr>
      <w:r>
        <w:t>Retry once if ACK is not received, if ACK feature is implemented.</w:t>
      </w:r>
    </w:p>
    <w:p>
      <w:pPr>
        <w:pStyle w:val="ListBullet"/>
      </w:pPr>
      <w:r>
        <w:t>Use checks to ignore corrupted or incomplete packets.</w:t>
      </w:r>
    </w:p>
    <w:p>
      <w:pPr>
        <w:pStyle w:val="Heading1"/>
      </w:pPr>
      <w:r>
        <w:t>Receiver Behavior</w:t>
      </w:r>
    </w:p>
    <w:p>
      <w:pPr>
        <w:pStyle w:val="ListNumber"/>
      </w:pPr>
      <w:r>
        <w:t>Listen continuously</w:t>
      </w:r>
    </w:p>
    <w:p>
      <w:pPr>
        <w:pStyle w:val="ListNumber"/>
      </w:pPr>
      <w:r>
        <w:t>Decode packet</w:t>
      </w:r>
    </w:p>
    <w:p>
      <w:pPr>
        <w:pStyle w:val="ListNumber"/>
      </w:pPr>
      <w:r>
        <w:t>Validate node ID</w:t>
      </w:r>
    </w:p>
    <w:p>
      <w:pPr>
        <w:pStyle w:val="ListNumber"/>
      </w:pPr>
      <w:r>
        <w:t>Store reading in database</w:t>
      </w:r>
    </w:p>
    <w:p>
      <w:pPr>
        <w:pStyle w:val="ListNumber"/>
      </w:pPr>
      <w:r>
        <w:t>Update node last_seen time</w:t>
      </w:r>
    </w:p>
    <w:p>
      <w:pPr>
        <w:pStyle w:val="ListNumber"/>
      </w:pPr>
      <w:r>
        <w:t>Trigger alert if threshold crossed</w:t>
      </w:r>
    </w:p>
    <w:p>
      <w:pPr>
        <w:pStyle w:val="Heading1"/>
      </w:pPr>
      <w:r>
        <w:t>Frequency Note</w:t>
      </w:r>
    </w:p>
    <w:p>
      <w:r>
        <w:t>Use the frequency supported by the available LoRa module. Keep transmitter and receiver frequency, bandwidth, spreading factor, and sync word identical.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