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ADB52" w14:textId="77777777" w:rsidR="00A10BC0" w:rsidRPr="00A10BC0" w:rsidRDefault="00A10BC0" w:rsidP="00A10BC0">
      <w:pPr>
        <w:rPr>
          <w:b/>
          <w:bCs/>
        </w:rPr>
      </w:pPr>
      <w:r w:rsidRPr="00A10BC0">
        <w:rPr>
          <w:b/>
          <w:bCs/>
        </w:rPr>
        <w:t>PAT-061</w:t>
      </w:r>
    </w:p>
    <w:p w14:paraId="303C902A" w14:textId="77777777" w:rsidR="00A10BC0" w:rsidRPr="00A10BC0" w:rsidRDefault="00A10BC0" w:rsidP="00A10BC0">
      <w:r w:rsidRPr="00A10BC0">
        <w:rPr>
          <w:b/>
          <w:bCs/>
        </w:rPr>
        <w:t>Pattern Identifier</w:t>
      </w:r>
    </w:p>
    <w:p w14:paraId="1E7357A7" w14:textId="77777777" w:rsidR="00A10BC0" w:rsidRPr="00A10BC0" w:rsidRDefault="00A10BC0" w:rsidP="00A10BC0">
      <w:r w:rsidRPr="00A10BC0">
        <w:t>PTID: PAT-061</w:t>
      </w:r>
    </w:p>
    <w:p w14:paraId="49F66494" w14:textId="77777777" w:rsidR="00A10BC0" w:rsidRPr="00A10BC0" w:rsidRDefault="00A10BC0" w:rsidP="00A10BC0">
      <w:r w:rsidRPr="00A10BC0">
        <w:rPr>
          <w:b/>
          <w:bCs/>
        </w:rPr>
        <w:t>Pattern Title</w:t>
      </w:r>
    </w:p>
    <w:p w14:paraId="0C7D637A" w14:textId="77777777" w:rsidR="00A10BC0" w:rsidRPr="00A10BC0" w:rsidRDefault="00A10BC0" w:rsidP="00A10BC0">
      <w:r w:rsidRPr="00A10BC0">
        <w:t>Title: Knowledge Transfer</w:t>
      </w:r>
    </w:p>
    <w:p w14:paraId="415DED67" w14:textId="77777777" w:rsidR="00A10BC0" w:rsidRPr="00A10BC0" w:rsidRDefault="00A10BC0" w:rsidP="00A10BC0">
      <w:r w:rsidRPr="00A10BC0">
        <w:rPr>
          <w:b/>
          <w:bCs/>
        </w:rPr>
        <w:t>Primary Research Category</w:t>
      </w:r>
    </w:p>
    <w:p w14:paraId="4B695718" w14:textId="77777777" w:rsidR="00A10BC0" w:rsidRPr="00A10BC0" w:rsidRDefault="00A10BC0" w:rsidP="00A10BC0">
      <w:r w:rsidRPr="00A10BC0">
        <w:t>Category: Knowledge &amp; Information Behaviour</w:t>
      </w:r>
    </w:p>
    <w:p w14:paraId="233F02EC" w14:textId="77777777" w:rsidR="00A10BC0" w:rsidRPr="00A10BC0" w:rsidRDefault="00A10BC0" w:rsidP="00A10BC0">
      <w:r w:rsidRPr="00A10BC0">
        <w:rPr>
          <w:b/>
          <w:bCs/>
        </w:rPr>
        <w:t>Current Research Status</w:t>
      </w:r>
    </w:p>
    <w:p w14:paraId="435FCAFC" w14:textId="77777777" w:rsidR="00A10BC0" w:rsidRPr="00A10BC0" w:rsidRDefault="00A10BC0" w:rsidP="00A10BC0">
      <w:r w:rsidRPr="00A10BC0">
        <w:t>Status: Candidate (Upgrade to Accepted after further validation.)</w:t>
      </w:r>
    </w:p>
    <w:p w14:paraId="4CFB08AD" w14:textId="77777777" w:rsidR="00A10BC0" w:rsidRPr="00A10BC0" w:rsidRDefault="00A10BC0" w:rsidP="00A10BC0">
      <w:r w:rsidRPr="00A10BC0">
        <w:rPr>
          <w:b/>
          <w:bCs/>
        </w:rPr>
        <w:t>Validation Confidence</w:t>
      </w:r>
    </w:p>
    <w:p w14:paraId="5588BA99" w14:textId="77777777" w:rsidR="00A10BC0" w:rsidRPr="00A10BC0" w:rsidRDefault="00A10BC0" w:rsidP="00A10BC0">
      <w:r w:rsidRPr="00A10BC0">
        <w:t>Confidence Level: Level 4 – Strong Evidence</w:t>
      </w:r>
    </w:p>
    <w:p w14:paraId="796B730B" w14:textId="77777777" w:rsidR="00A10BC0" w:rsidRPr="00A10BC0" w:rsidRDefault="00A10BC0" w:rsidP="00A10BC0">
      <w:r w:rsidRPr="00A10BC0">
        <w:rPr>
          <w:b/>
          <w:bCs/>
        </w:rPr>
        <w:t>Document Version</w:t>
      </w:r>
    </w:p>
    <w:p w14:paraId="2A2969AE" w14:textId="77777777" w:rsidR="00A10BC0" w:rsidRPr="00A10BC0" w:rsidRDefault="00A10BC0" w:rsidP="00A10BC0">
      <w:r w:rsidRPr="00A10BC0">
        <w:t>Version: 1.0</w:t>
      </w:r>
    </w:p>
    <w:p w14:paraId="11C7F548" w14:textId="77777777" w:rsidR="00A10BC0" w:rsidRPr="00A10BC0" w:rsidRDefault="00A10BC0" w:rsidP="00A10BC0">
      <w:r w:rsidRPr="00A10BC0">
        <w:rPr>
          <w:b/>
          <w:bCs/>
        </w:rPr>
        <w:t>Creation Date</w:t>
      </w:r>
    </w:p>
    <w:p w14:paraId="3F19800E" w14:textId="77777777" w:rsidR="00A10BC0" w:rsidRPr="00A10BC0" w:rsidRDefault="00A10BC0" w:rsidP="00A10BC0">
      <w:r w:rsidRPr="00A10BC0">
        <w:t>Created: 2026-08-13</w:t>
      </w:r>
    </w:p>
    <w:p w14:paraId="50527C11" w14:textId="77777777" w:rsidR="00A10BC0" w:rsidRPr="00A10BC0" w:rsidRDefault="00A10BC0" w:rsidP="00A10BC0">
      <w:r w:rsidRPr="00A10BC0">
        <w:rPr>
          <w:b/>
          <w:bCs/>
        </w:rPr>
        <w:t>Last Modification Date</w:t>
      </w:r>
    </w:p>
    <w:p w14:paraId="076E6FFF" w14:textId="77777777" w:rsidR="00A10BC0" w:rsidRPr="00A10BC0" w:rsidRDefault="00A10BC0" w:rsidP="00A10BC0">
      <w:r w:rsidRPr="00A10BC0">
        <w:t>Last Updated: 2026-08-13</w:t>
      </w:r>
    </w:p>
    <w:p w14:paraId="32CB389E" w14:textId="77777777" w:rsidR="00A10BC0" w:rsidRPr="00A10BC0" w:rsidRDefault="00A10BC0" w:rsidP="00A10BC0">
      <w:r w:rsidRPr="00A10BC0">
        <w:rPr>
          <w:b/>
          <w:bCs/>
        </w:rPr>
        <w:t>Standardized Search Keywords</w:t>
      </w:r>
    </w:p>
    <w:p w14:paraId="3947DAF8" w14:textId="77777777" w:rsidR="00A10BC0" w:rsidRPr="00A10BC0" w:rsidRDefault="00A10BC0" w:rsidP="00A10BC0">
      <w:r w:rsidRPr="00A10BC0">
        <w:t>Tags: Knowledge Transfer, Application, Context Switching, Value of Learning, Situated Cognition, Near and Far Transfer, Generalization, Abstraction, Sandbox to Production</w:t>
      </w:r>
    </w:p>
    <w:p w14:paraId="14A82035" w14:textId="77777777" w:rsidR="00A10BC0" w:rsidRPr="00A10BC0" w:rsidRDefault="00A10BC0" w:rsidP="00A10BC0">
      <w:r w:rsidRPr="00A10BC0">
        <w:rPr>
          <w:b/>
          <w:bCs/>
        </w:rPr>
        <w:t>Supporting Atlas Problem Identifiers</w:t>
      </w:r>
    </w:p>
    <w:p w14:paraId="10E84901" w14:textId="77777777" w:rsidR="00A10BC0" w:rsidRPr="00A10BC0" w:rsidRDefault="00A10BC0" w:rsidP="00A10BC0">
      <w:r w:rsidRPr="00A10BC0">
        <w:t>Supporting APIDs:</w:t>
      </w:r>
    </w:p>
    <w:p w14:paraId="3A45643C" w14:textId="77777777" w:rsidR="00A10BC0" w:rsidRPr="00A10BC0" w:rsidRDefault="00A10BC0" w:rsidP="00A10BC0">
      <w:pPr>
        <w:numPr>
          <w:ilvl w:val="0"/>
          <w:numId w:val="1"/>
        </w:numPr>
      </w:pPr>
      <w:r w:rsidRPr="00A10BC0">
        <w:t>LE-014</w:t>
      </w:r>
    </w:p>
    <w:p w14:paraId="13232678" w14:textId="77777777" w:rsidR="00A10BC0" w:rsidRPr="00A10BC0" w:rsidRDefault="00A10BC0" w:rsidP="00A10BC0">
      <w:pPr>
        <w:numPr>
          <w:ilvl w:val="0"/>
          <w:numId w:val="1"/>
        </w:numPr>
      </w:pPr>
      <w:r w:rsidRPr="00A10BC0">
        <w:t>LE-022</w:t>
      </w:r>
    </w:p>
    <w:p w14:paraId="468786CF" w14:textId="77777777" w:rsidR="00A10BC0" w:rsidRPr="00A10BC0" w:rsidRDefault="00A10BC0" w:rsidP="00A10BC0">
      <w:pPr>
        <w:numPr>
          <w:ilvl w:val="0"/>
          <w:numId w:val="1"/>
        </w:numPr>
      </w:pPr>
      <w:r w:rsidRPr="00A10BC0">
        <w:t>LE-037</w:t>
      </w:r>
    </w:p>
    <w:p w14:paraId="584B9C66" w14:textId="77777777" w:rsidR="00A10BC0" w:rsidRPr="00A10BC0" w:rsidRDefault="00A10BC0" w:rsidP="00A10BC0">
      <w:pPr>
        <w:numPr>
          <w:ilvl w:val="0"/>
          <w:numId w:val="1"/>
        </w:numPr>
      </w:pPr>
      <w:r w:rsidRPr="00A10BC0">
        <w:t>LE-044</w:t>
      </w:r>
    </w:p>
    <w:p w14:paraId="67BBCFCA" w14:textId="77777777" w:rsidR="00A10BC0" w:rsidRPr="00A10BC0" w:rsidRDefault="00A10BC0" w:rsidP="00A10BC0">
      <w:pPr>
        <w:numPr>
          <w:ilvl w:val="0"/>
          <w:numId w:val="1"/>
        </w:numPr>
      </w:pPr>
      <w:r w:rsidRPr="00A10BC0">
        <w:t>LE-046</w:t>
      </w:r>
    </w:p>
    <w:p w14:paraId="2B1F7750" w14:textId="77777777" w:rsidR="00A10BC0" w:rsidRPr="00A10BC0" w:rsidRDefault="00A10BC0" w:rsidP="00A10BC0">
      <w:r w:rsidRPr="00A10BC0">
        <w:rPr>
          <w:b/>
          <w:bCs/>
        </w:rPr>
        <w:t>Pattern</w:t>
      </w:r>
    </w:p>
    <w:p w14:paraId="7131065C" w14:textId="77777777" w:rsidR="00A10BC0" w:rsidRPr="00A10BC0" w:rsidRDefault="00A10BC0" w:rsidP="00A10BC0">
      <w:r w:rsidRPr="00A10BC0">
        <w:lastRenderedPageBreak/>
        <w:t>Learning becomes valuable only when knowledge acquired in one context can be successfully transferred and applied in a fundamentally different context. However, human cognition naturally binds learned concepts to the specific environment, interface, or emotional state in which they were initially acquired—a phenomenon rooted in Situated Cognition.</w:t>
      </w:r>
    </w:p>
    <w:p w14:paraId="00CDF083" w14:textId="77777777" w:rsidR="00A10BC0" w:rsidRPr="00A10BC0" w:rsidRDefault="00A10BC0" w:rsidP="00A10BC0">
      <w:r w:rsidRPr="00A10BC0">
        <w:t>When a user attempts to generalize a theoretical concept learned in a sterile, predictable educational sandbox and apply it to a messy, unpredictable real-world production environment, they experience severe friction. The brain fails to recognize that the new problem is structurally identical to the old problem because the surface aesthetics, tooling, and constraints have changed.</w:t>
      </w:r>
    </w:p>
    <w:p w14:paraId="77907314" w14:textId="77777777" w:rsidR="00A10BC0" w:rsidRPr="00A10BC0" w:rsidRDefault="00A10BC0" w:rsidP="00A10BC0">
      <w:r w:rsidRPr="00A10BC0">
        <w:t xml:space="preserve">This pattern identifies a massive failure point in modern education and professional training. Curricula are optimized for </w:t>
      </w:r>
      <w:r w:rsidRPr="00A10BC0">
        <w:rPr>
          <w:i/>
          <w:iCs/>
        </w:rPr>
        <w:t>acquisition</w:t>
      </w:r>
      <w:r w:rsidRPr="00A10BC0">
        <w:t xml:space="preserve"> and </w:t>
      </w:r>
      <w:r w:rsidRPr="00A10BC0">
        <w:rPr>
          <w:i/>
          <w:iCs/>
        </w:rPr>
        <w:t>retention</w:t>
      </w:r>
      <w:r w:rsidRPr="00A10BC0">
        <w:t xml:space="preserve"> within the training environment, but rarely optimize for </w:t>
      </w:r>
      <w:r w:rsidRPr="00A10BC0">
        <w:rPr>
          <w:i/>
          <w:iCs/>
        </w:rPr>
        <w:t>transferability</w:t>
      </w:r>
      <w:r w:rsidRPr="00A10BC0">
        <w:t>. As a result, users possess the necessary knowledge in theory, but remain operationally paralyzed when the context shifts even slightly. This gap between theoretical possession and practical application forces users to essentially re-learn the application of the concept from scratch in the new environment.</w:t>
      </w:r>
    </w:p>
    <w:p w14:paraId="7B9BCDE2" w14:textId="77777777" w:rsidR="00A10BC0" w:rsidRPr="00A10BC0" w:rsidRDefault="00A10BC0" w:rsidP="00A10BC0">
      <w:r w:rsidRPr="00A10BC0">
        <w:rPr>
          <w:b/>
          <w:bCs/>
        </w:rPr>
        <w:t>Human Impact</w:t>
      </w:r>
    </w:p>
    <w:p w14:paraId="23365A01" w14:textId="77777777" w:rsidR="00A10BC0" w:rsidRPr="00A10BC0" w:rsidRDefault="00A10BC0" w:rsidP="00A10BC0">
      <w:r w:rsidRPr="00A10BC0">
        <w:t>This pattern contributes to deep operational inefficiencies and professional insecurity:</w:t>
      </w:r>
    </w:p>
    <w:p w14:paraId="7727986D" w14:textId="77777777" w:rsidR="00A10BC0" w:rsidRPr="00A10BC0" w:rsidRDefault="00A10BC0" w:rsidP="00A10BC0">
      <w:pPr>
        <w:numPr>
          <w:ilvl w:val="0"/>
          <w:numId w:val="2"/>
        </w:numPr>
      </w:pPr>
      <w:r w:rsidRPr="00A10BC0">
        <w:rPr>
          <w:b/>
          <w:bCs/>
        </w:rPr>
        <w:t>The "Blank Page" Paralysis:</w:t>
      </w:r>
      <w:r w:rsidRPr="00A10BC0">
        <w:t xml:space="preserve"> Users who can flawlessly execute tasks when following a tutorial or using a specific study app freeze entirely when opening a blank project in a different software tool. The absence of familiar contextual cues blocks memory retrieval.</w:t>
      </w:r>
    </w:p>
    <w:p w14:paraId="450F730D" w14:textId="77777777" w:rsidR="00A10BC0" w:rsidRPr="00A10BC0" w:rsidRDefault="00A10BC0" w:rsidP="00A10BC0">
      <w:pPr>
        <w:numPr>
          <w:ilvl w:val="0"/>
          <w:numId w:val="2"/>
        </w:numPr>
      </w:pPr>
      <w:r w:rsidRPr="00A10BC0">
        <w:rPr>
          <w:b/>
          <w:bCs/>
        </w:rPr>
        <w:t>Tool Binding:</w:t>
      </w:r>
      <w:r w:rsidRPr="00A10BC0">
        <w:t xml:space="preserve"> Professionals become religiously attached to specific software applications (e.g., a specific IDE, a specific design tool) not because it is objectively better, but because their conceptual knowledge is completely fused to that tool's specific interface. Forcing them to switch tools effectively resets their competency to zero temporarily.</w:t>
      </w:r>
    </w:p>
    <w:p w14:paraId="7CBD9176" w14:textId="77777777" w:rsidR="00A10BC0" w:rsidRPr="00A10BC0" w:rsidRDefault="00A10BC0" w:rsidP="00A10BC0">
      <w:pPr>
        <w:numPr>
          <w:ilvl w:val="0"/>
          <w:numId w:val="2"/>
        </w:numPr>
      </w:pPr>
      <w:r w:rsidRPr="00A10BC0">
        <w:rPr>
          <w:b/>
          <w:bCs/>
        </w:rPr>
        <w:t>Failure in Ambiguity:</w:t>
      </w:r>
      <w:r w:rsidRPr="00A10BC0">
        <w:t xml:space="preserve"> Educational examples are necessarily scrubbed of irrelevant noise. Real-world applications are defined by noise. Users experience high stress when they cannot map the clean variables of their textbook knowledge onto the ambiguous, overlapping constraints of client demands or legacy systems.</w:t>
      </w:r>
    </w:p>
    <w:p w14:paraId="0F82509C" w14:textId="77777777" w:rsidR="00A10BC0" w:rsidRPr="00A10BC0" w:rsidRDefault="00A10BC0" w:rsidP="00A10BC0">
      <w:pPr>
        <w:numPr>
          <w:ilvl w:val="0"/>
          <w:numId w:val="2"/>
        </w:numPr>
      </w:pPr>
      <w:r w:rsidRPr="00A10BC0">
        <w:rPr>
          <w:b/>
          <w:bCs/>
        </w:rPr>
        <w:t>Wasted Training Budgets:</w:t>
      </w:r>
      <w:r w:rsidRPr="00A10BC0">
        <w:t xml:space="preserve"> Organizations spend vast resources on off-site training or generalized e-learning modules, only to find that employees return to their desks and cannot apply the abstract principles to their specific daily workflows.</w:t>
      </w:r>
    </w:p>
    <w:p w14:paraId="155B2427" w14:textId="77777777" w:rsidR="00A10BC0" w:rsidRPr="00A10BC0" w:rsidRDefault="00A10BC0" w:rsidP="00A10BC0">
      <w:pPr>
        <w:numPr>
          <w:ilvl w:val="0"/>
          <w:numId w:val="2"/>
        </w:numPr>
      </w:pPr>
      <w:r w:rsidRPr="00A10BC0">
        <w:rPr>
          <w:b/>
          <w:bCs/>
        </w:rPr>
        <w:lastRenderedPageBreak/>
        <w:t>Impaired Problem Solving:</w:t>
      </w:r>
      <w:r w:rsidRPr="00A10BC0">
        <w:t xml:space="preserve"> A lack of far transfer means users cannot use analogical reasoning. They cannot take a solution from one domain (e.g., biology) and apply its abstract structural logic to solve a problem in another domain (e.g., software architecture).</w:t>
      </w:r>
    </w:p>
    <w:p w14:paraId="6486977A" w14:textId="77777777" w:rsidR="00A10BC0" w:rsidRPr="00A10BC0" w:rsidRDefault="00A10BC0" w:rsidP="00A10BC0">
      <w:r w:rsidRPr="00A10BC0">
        <w:rPr>
          <w:b/>
          <w:bCs/>
        </w:rPr>
        <w:t>Evidence</w:t>
      </w:r>
    </w:p>
    <w:p w14:paraId="1A6DFCB6" w14:textId="77777777" w:rsidR="00A10BC0" w:rsidRPr="00A10BC0" w:rsidRDefault="00A10BC0" w:rsidP="00A10BC0">
      <w:r w:rsidRPr="00A10BC0">
        <w:t>This Pattern is heavily supported by Human Frictions highlighting the disconnect between theory, tools, and real-world execution:</w:t>
      </w:r>
    </w:p>
    <w:p w14:paraId="0884A059" w14:textId="77777777" w:rsidR="00A10BC0" w:rsidRPr="00A10BC0" w:rsidRDefault="00A10BC0" w:rsidP="00A10BC0">
      <w:pPr>
        <w:numPr>
          <w:ilvl w:val="0"/>
          <w:numId w:val="3"/>
        </w:numPr>
      </w:pPr>
      <w:r w:rsidRPr="00A10BC0">
        <w:rPr>
          <w:b/>
          <w:bCs/>
        </w:rPr>
        <w:t>LE-014</w:t>
      </w:r>
      <w:r w:rsidRPr="00A10BC0">
        <w:t xml:space="preserve"> specifically identifies the friction between theoretical models and practical situations. Learners fail because their mental schemas are too rigid; they have learned the </w:t>
      </w:r>
      <w:r w:rsidRPr="00A10BC0">
        <w:rPr>
          <w:i/>
          <w:iCs/>
        </w:rPr>
        <w:t>rules</w:t>
      </w:r>
      <w:r w:rsidRPr="00A10BC0">
        <w:t xml:space="preserve"> but not the </w:t>
      </w:r>
      <w:r w:rsidRPr="00A10BC0">
        <w:rPr>
          <w:i/>
          <w:iCs/>
        </w:rPr>
        <w:t>exceptions</w:t>
      </w:r>
      <w:r w:rsidRPr="00A10BC0">
        <w:t>, and the real world is built on exceptions.</w:t>
      </w:r>
    </w:p>
    <w:p w14:paraId="63081BB8" w14:textId="77777777" w:rsidR="00A10BC0" w:rsidRPr="00A10BC0" w:rsidRDefault="00A10BC0" w:rsidP="00A10BC0">
      <w:pPr>
        <w:numPr>
          <w:ilvl w:val="0"/>
          <w:numId w:val="3"/>
        </w:numPr>
      </w:pPr>
      <w:r w:rsidRPr="00A10BC0">
        <w:rPr>
          <w:b/>
          <w:bCs/>
        </w:rPr>
        <w:t>LE-022</w:t>
      </w:r>
      <w:r w:rsidRPr="00A10BC0">
        <w:t xml:space="preserve"> isolates the specific issue of tool-binding. Learners who understand a workflow perfectly in Application A cannot replicate the exact same workflow in Application B, proving that their brain mapped the interface clicks rather than the underlying agnostic process.</w:t>
      </w:r>
    </w:p>
    <w:p w14:paraId="491C542F" w14:textId="77777777" w:rsidR="00A10BC0" w:rsidRPr="00A10BC0" w:rsidRDefault="00A10BC0" w:rsidP="00A10BC0">
      <w:pPr>
        <w:numPr>
          <w:ilvl w:val="0"/>
          <w:numId w:val="3"/>
        </w:numPr>
      </w:pPr>
      <w:r w:rsidRPr="00A10BC0">
        <w:rPr>
          <w:b/>
          <w:bCs/>
        </w:rPr>
        <w:t>LE-037, LE-044, and LE-046</w:t>
      </w:r>
      <w:r w:rsidRPr="00A10BC0">
        <w:t xml:space="preserve"> further observe that context switching is not just an interface problem, but an environmental one. Changing the stakes (e.g., moving from a practice test to a live server) introduces emotional and physiological variables that disrupt previously established neural pathways, causing knowledge access to fail precisely when it is most needed.</w:t>
      </w:r>
    </w:p>
    <w:p w14:paraId="5ED66FF4" w14:textId="77777777" w:rsidR="00A10BC0" w:rsidRPr="00A10BC0" w:rsidRDefault="00A10BC0" w:rsidP="00A10BC0">
      <w:r w:rsidRPr="00A10BC0">
        <w:t>Across these observations, the recurring relationship is that the true test of knowledge is not retention, but contextual agility. The digital tools and educational frameworks currently in use fail to provide "bridge" experiences that gradually increase environmental noise and help learners decouple concepts from their original learning medium.</w:t>
      </w:r>
    </w:p>
    <w:p w14:paraId="6391DE85" w14:textId="77777777" w:rsidR="00A10BC0" w:rsidRPr="00A10BC0" w:rsidRDefault="00A10BC0" w:rsidP="00A10BC0">
      <w:r w:rsidRPr="00A10BC0">
        <w:rPr>
          <w:b/>
          <w:bCs/>
        </w:rPr>
        <w:t>Research Notes</w:t>
      </w:r>
    </w:p>
    <w:p w14:paraId="6E129052" w14:textId="77777777" w:rsidR="00A10BC0" w:rsidRPr="00A10BC0" w:rsidRDefault="00A10BC0" w:rsidP="00A10BC0">
      <w:r w:rsidRPr="00A10BC0">
        <w:t>Current evidence suggests that Knowledge Transfer is a foundational behavioural pattern governing applied learning, deeply intersecting with Constructivism and the psychological study of Analogical Transfer.</w:t>
      </w:r>
    </w:p>
    <w:p w14:paraId="59378B3B" w14:textId="77777777" w:rsidR="00A10BC0" w:rsidRPr="00A10BC0" w:rsidRDefault="00A10BC0" w:rsidP="00A10BC0">
      <w:r w:rsidRPr="00A10BC0">
        <w:t>Future validation and design interventions should focus on:</w:t>
      </w:r>
    </w:p>
    <w:p w14:paraId="42E53093" w14:textId="77777777" w:rsidR="00A10BC0" w:rsidRPr="00A10BC0" w:rsidRDefault="00A10BC0" w:rsidP="00A10BC0">
      <w:pPr>
        <w:numPr>
          <w:ilvl w:val="0"/>
          <w:numId w:val="4"/>
        </w:numPr>
      </w:pPr>
      <w:r w:rsidRPr="00A10BC0">
        <w:rPr>
          <w:b/>
          <w:bCs/>
        </w:rPr>
        <w:t>Decontextualized Practice Design:</w:t>
      </w:r>
      <w:r w:rsidRPr="00A10BC0">
        <w:t xml:space="preserve"> How software interfaces can intentionally mutate or randomize practice environments to force the user's brain to extract the underlying rule rather than memorizing the visual layout.</w:t>
      </w:r>
    </w:p>
    <w:p w14:paraId="6D853E95" w14:textId="77777777" w:rsidR="00A10BC0" w:rsidRPr="00A10BC0" w:rsidRDefault="00A10BC0" w:rsidP="00A10BC0">
      <w:pPr>
        <w:numPr>
          <w:ilvl w:val="0"/>
          <w:numId w:val="4"/>
        </w:numPr>
      </w:pPr>
      <w:r w:rsidRPr="00A10BC0">
        <w:rPr>
          <w:b/>
          <w:bCs/>
        </w:rPr>
        <w:t>Bridge Environments:</w:t>
      </w:r>
      <w:r w:rsidRPr="00A10BC0">
        <w:t xml:space="preserve"> Developing transitionary states in professional onboarding that mimic the noise of production environments while maintaining the safety nets of sandbox environments.</w:t>
      </w:r>
    </w:p>
    <w:p w14:paraId="2BBEC966" w14:textId="77777777" w:rsidR="00A10BC0" w:rsidRPr="00A10BC0" w:rsidRDefault="00A10BC0" w:rsidP="00A10BC0">
      <w:pPr>
        <w:numPr>
          <w:ilvl w:val="0"/>
          <w:numId w:val="4"/>
        </w:numPr>
      </w:pPr>
      <w:r w:rsidRPr="00A10BC0">
        <w:rPr>
          <w:b/>
          <w:bCs/>
        </w:rPr>
        <w:lastRenderedPageBreak/>
        <w:t>Semantic Translation Tools:</w:t>
      </w:r>
      <w:r w:rsidRPr="00A10BC0">
        <w:t xml:space="preserve"> Researching AI features that can dynamically translate the interface paradigms of one tool into the language of another (e.g., "Show me how this Photoshop concept works in Figma terminology"), acting as a prosthetic for near transfer.</w:t>
      </w:r>
    </w:p>
    <w:p w14:paraId="51411DDA" w14:textId="77777777" w:rsidR="00A10BC0" w:rsidRPr="00A10BC0" w:rsidRDefault="00A10BC0" w:rsidP="00A10BC0">
      <w:r w:rsidRPr="00A10BC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323"/>
        <w:gridCol w:w="6430"/>
      </w:tblGrid>
      <w:tr w:rsidR="00A10BC0" w:rsidRPr="00A10BC0" w14:paraId="1C82483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31F31" w14:textId="77777777" w:rsidR="00A10BC0" w:rsidRPr="00A10BC0" w:rsidRDefault="00A10BC0" w:rsidP="00A10BC0">
            <w:r w:rsidRPr="00A10BC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08353" w14:textId="77777777" w:rsidR="00A10BC0" w:rsidRPr="00A10BC0" w:rsidRDefault="00A10BC0" w:rsidP="00A10BC0">
            <w:r w:rsidRPr="00A10BC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AEFE7" w14:textId="77777777" w:rsidR="00A10BC0" w:rsidRPr="00A10BC0" w:rsidRDefault="00A10BC0" w:rsidP="00A10BC0">
            <w:r w:rsidRPr="00A10BC0">
              <w:rPr>
                <w:b/>
                <w:bCs/>
              </w:rPr>
              <w:t>Description</w:t>
            </w:r>
          </w:p>
        </w:tc>
      </w:tr>
      <w:tr w:rsidR="00A10BC0" w:rsidRPr="00A10BC0" w14:paraId="5AAACA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90A8C" w14:textId="77777777" w:rsidR="00A10BC0" w:rsidRPr="00A10BC0" w:rsidRDefault="00A10BC0" w:rsidP="00A10BC0">
            <w:r w:rsidRPr="00A10BC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668E9" w14:textId="77777777" w:rsidR="00A10BC0" w:rsidRPr="00A10BC0" w:rsidRDefault="00A10BC0" w:rsidP="00A10BC0">
            <w:r w:rsidRPr="00A10BC0">
              <w:t>2026-08-13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39A7E" w14:textId="77777777" w:rsidR="00A10BC0" w:rsidRPr="00A10BC0" w:rsidRDefault="00A10BC0" w:rsidP="00A10BC0">
            <w:r w:rsidRPr="00A10BC0">
              <w:t>Initial documentation using Pattern Template v2.0. Expanded to comprehensive research depth.</w:t>
            </w:r>
          </w:p>
        </w:tc>
      </w:tr>
    </w:tbl>
    <w:p w14:paraId="086F4E6F"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50CFE"/>
    <w:multiLevelType w:val="multilevel"/>
    <w:tmpl w:val="4068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F9388C"/>
    <w:multiLevelType w:val="multilevel"/>
    <w:tmpl w:val="0CAE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3E3070"/>
    <w:multiLevelType w:val="multilevel"/>
    <w:tmpl w:val="0610D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CC47A9"/>
    <w:multiLevelType w:val="multilevel"/>
    <w:tmpl w:val="B93A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373218">
    <w:abstractNumId w:val="1"/>
  </w:num>
  <w:num w:numId="2" w16cid:durableId="232205989">
    <w:abstractNumId w:val="3"/>
  </w:num>
  <w:num w:numId="3" w16cid:durableId="497237952">
    <w:abstractNumId w:val="0"/>
  </w:num>
  <w:num w:numId="4" w16cid:durableId="1759399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00B"/>
    <w:rsid w:val="0020500B"/>
    <w:rsid w:val="00220B47"/>
    <w:rsid w:val="00A10BC0"/>
    <w:rsid w:val="00D46D75"/>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chartTrackingRefBased/>
  <w15:docId w15:val="{E0BEA568-EA23-4983-A763-7CC3ED571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00B"/>
    <w:rPr>
      <w:rFonts w:eastAsiaTheme="majorEastAsia" w:cstheme="majorBidi"/>
      <w:color w:val="272727" w:themeColor="text1" w:themeTint="D8"/>
    </w:rPr>
  </w:style>
  <w:style w:type="paragraph" w:styleId="Title">
    <w:name w:val="Title"/>
    <w:basedOn w:val="Normal"/>
    <w:next w:val="Normal"/>
    <w:link w:val="TitleChar"/>
    <w:uiPriority w:val="10"/>
    <w:qFormat/>
    <w:rsid w:val="00205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00B"/>
    <w:pPr>
      <w:spacing w:before="160"/>
      <w:jc w:val="center"/>
    </w:pPr>
    <w:rPr>
      <w:i/>
      <w:iCs/>
      <w:color w:val="404040" w:themeColor="text1" w:themeTint="BF"/>
    </w:rPr>
  </w:style>
  <w:style w:type="character" w:customStyle="1" w:styleId="QuoteChar">
    <w:name w:val="Quote Char"/>
    <w:basedOn w:val="DefaultParagraphFont"/>
    <w:link w:val="Quote"/>
    <w:uiPriority w:val="29"/>
    <w:rsid w:val="0020500B"/>
    <w:rPr>
      <w:i/>
      <w:iCs/>
      <w:color w:val="404040" w:themeColor="text1" w:themeTint="BF"/>
    </w:rPr>
  </w:style>
  <w:style w:type="paragraph" w:styleId="ListParagraph">
    <w:name w:val="List Paragraph"/>
    <w:basedOn w:val="Normal"/>
    <w:uiPriority w:val="34"/>
    <w:qFormat/>
    <w:rsid w:val="0020500B"/>
    <w:pPr>
      <w:ind w:left="720"/>
      <w:contextualSpacing/>
    </w:pPr>
  </w:style>
  <w:style w:type="character" w:styleId="IntenseEmphasis">
    <w:name w:val="Intense Emphasis"/>
    <w:basedOn w:val="DefaultParagraphFont"/>
    <w:uiPriority w:val="21"/>
    <w:qFormat/>
    <w:rsid w:val="0020500B"/>
    <w:rPr>
      <w:i/>
      <w:iCs/>
      <w:color w:val="0F4761" w:themeColor="accent1" w:themeShade="BF"/>
    </w:rPr>
  </w:style>
  <w:style w:type="paragraph" w:styleId="IntenseQuote">
    <w:name w:val="Intense Quote"/>
    <w:basedOn w:val="Normal"/>
    <w:next w:val="Normal"/>
    <w:link w:val="IntenseQuoteChar"/>
    <w:uiPriority w:val="30"/>
    <w:qFormat/>
    <w:rsid w:val="00205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00B"/>
    <w:rPr>
      <w:i/>
      <w:iCs/>
      <w:color w:val="0F4761" w:themeColor="accent1" w:themeShade="BF"/>
    </w:rPr>
  </w:style>
  <w:style w:type="character" w:styleId="IntenseReference">
    <w:name w:val="Intense Reference"/>
    <w:basedOn w:val="DefaultParagraphFont"/>
    <w:uiPriority w:val="32"/>
    <w:qFormat/>
    <w:rsid w:val="002050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895</Words>
  <Characters>5102</Characters>
  <Application>Microsoft Office Word</Application>
  <DocSecurity>0</DocSecurity>
  <Lines>42</Lines>
  <Paragraphs>11</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2026-08-13T16:52:00Z</dcterms:created>
  <dcterms:modified xsi:type="dcterms:W3CDTF">2026-08-13T16:53:00Z</dcterms:modified>
</cp:coreProperties>
</file>