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rPr>
        <w:t xml:space="preserve">Experiment run on 23 October 2026.</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Retail investors increasingly ask general-purpose chatbots for fund advice, but a chatbot carries none of the suitability duties of a licensed distributor. We audited three Chinese large language models (Doubao, DeepSeek and Kimi) on 200 synthetic investors forming a balanced 5 x 5 x 8 factorial of investment horizon, risk tolerance and age, so that the three attributes are uncorrelated. Every investor was advised by every model under a baseline adviser prompt and under the same prompt with a suitability protocol added, choosing from a menu of 23 verified Chinese funds whose risk ratings were shown. Recommendations were scored against the C1-C5/R1-R5 matching rule, a horizon-based equity cap, a lock-up constraint and the investor's stated loss limit over a 59-month back-test. Risk tolerance dominated the portfolios (partial eta squared 0.66-0.83), horizon came second (0.41-0.53) and age barely mattered (0.02-0.08). Under the baseline prompt, 83-86% of recommendations to C1-C3 investors contained a fund rated above the permitted level. The protocol cut rating breaches by 9.5-24.5 percentage points in every model, yet 42-70% of C1-C3 recommendations still breached the rule, often after the model had classified the investor correctly. Equity levels were highly repeatable (ICC 0.95-0.98) but fund choices were not (Jaccard similarity 0.59-0.70). In the back-test most portfolios beat a 60/40 mix on the Sharpe ratio and fees were negligible, but cautious investors' extra return came from non-permitted funds. Suitability rules should therefore be enforced outside the model, not only stated in its prompt.</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a bank branch or a robo-adviser questionnaire to obtain a fund recommendation: a few sentences typed into a general-purpose chatbot return a named portfolio in seconds. Choukhmane et al. (2026) recruited about 1,000 US adults who wrote the prompts they would use to seek such advice, a sign of how ordinary the practice has become.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assess a client's risk tolerance, horizon and goals, classify both client and product, and sell only products whose risk rating does not exceed the client's class (Asset Management Association of China [AMAC], 2017; China Securities Regulatory Commission [CSRC], 2020). A chatbot has no such duty unless its deployer builds one in. Whether general-purpose models nonetheless behave as if bound by suitability rules is an empirical question that an audit experiment can answer directly.</w:t>
      </w:r>
    </w:p>
    <w:p>
      <w:pPr>
        <w:spacing w:after="120" w:line="276" w:lineRule="auto"/>
        <w:ind w:firstLine="567"/>
        <w:jc w:val="both"/>
      </w:pPr>
      <w:r>
        <w:rPr>
          <w:rFonts w:ascii="Times New Roman" w:cs="Times New Roman" w:eastAsia="SimSun" w:hAnsi="Times New Roman"/>
        </w:rPr>
        <w:t xml:space="preserve">The evidence so far is mixed. Fieberg et al. (2025) found that 32 models adjusted risk exposure to investor traits, and Choukhmane et al. (2026) that LLM advice would move most respondents towards life-cycle prescriptions. Yet Ross and Lo (2026) describe GPT-4o as a decision tree keyed mainly on self-reported risk tolerance, and Foltyn and Olsson (2026) show that a single gendered word shifts recommended equity across 33 models.</w:t>
      </w:r>
    </w:p>
    <w:p>
      <w:pPr>
        <w:spacing w:after="120" w:line="276" w:lineRule="auto"/>
        <w:ind w:firstLine="567"/>
        <w:jc w:val="both"/>
      </w:pPr>
      <w:r>
        <w:rPr>
          <w:rFonts w:ascii="Times New Roman" w:cs="Times New Roman" w:eastAsia="SimSun" w:hAnsi="Times New Roman"/>
        </w:rPr>
        <w:t xml:space="preserve">This study addresses four gaps: it crosses horizon, risk tolerance and age orthogonally, so that the weight of each attribute can be separated; scores advice against a regulatory rule with real product ratings; tests within the same investors whether a prompt-level suitability protocol helps; and back-tests every recommended portfolio against the loss the investor said they could bear.</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rPr>
        <w:t xml:space="preserve">The study follows the four evaluation dimensions of the course manual: feasibility, suitability, fairness and performance. Suitability is the primary focus: RQ1 to RQ3 ask whether portfolios follow investors' risk tolerance, horizon and other stated constraints, and whether a suitability protocol improves compliance. Feasibility (valid, executable advice; Section 9.1) and performance (returns, risk-adjusted measures and benchmarks; Section 9.7) are secondary outcomes reported descriptively, and RQ4 examines the stability of the output. Fairness is not tested, because no profiles differ only in a demographic signal such as gender, name or region.</w:t>
      </w:r>
    </w:p>
    <w:p>
      <w:pPr>
        <w:spacing w:after="120" w:line="276" w:lineRule="auto"/>
        <w:ind w:firstLine="567"/>
        <w:jc w:val="both"/>
      </w:pPr>
      <w:r>
        <w:rPr>
          <w:rFonts w:ascii="Times New Roman" w:cs="Times New Roman" w:eastAsia="SimSun" w:hAnsi="Times New Roman"/>
          <w:b/>
          <w:bCs/>
        </w:rPr>
        <w:t xml:space="preserve">RQ1 (Responsiveness to investor characteristics).</w:t>
      </w:r>
      <w:r>
        <w:rPr>
          <w:rFonts w:ascii="Times New Roman" w:cs="Times New Roman" w:eastAsia="SimSun" w:hAnsi="Times New Roman"/>
        </w:rPr>
        <w:t xml:space="preserve"> How strongly do recommended portfolios vary with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 breaches).</w:t>
      </w:r>
      <w:r>
        <w:rPr>
          <w:rFonts w:ascii="Times New Roman" w:cs="Times New Roman" w:eastAsia="SimSun" w:hAnsi="Times New Roman"/>
        </w:rPr>
        <w:t xml:space="preserve"> How often do recommendations breach the product-risk matching rule, horizon-based limits, holding-period constraints and the investor's stated loss tolerance?</w:t>
      </w:r>
    </w:p>
    <w:p>
      <w:pPr>
        <w:spacing w:after="120" w:line="276" w:lineRule="auto"/>
        <w:ind w:firstLine="567"/>
        <w:jc w:val="both"/>
      </w:pPr>
      <w:r>
        <w:rPr>
          <w:rFonts w:ascii="Times New Roman" w:cs="Times New Roman" w:eastAsia="SimSun" w:hAnsi="Times New Roman"/>
          <w:b/>
          <w:bCs/>
        </w:rPr>
        <w:t xml:space="preserve">RQ3 (Effectiveness of the suitability protocol).</w:t>
      </w:r>
      <w:r>
        <w:rPr>
          <w:rFonts w:ascii="Times New Roman" w:cs="Times New Roman" w:eastAsia="SimSun" w:hAnsi="Times New Roman"/>
        </w:rPr>
        <w:t xml:space="preserve"> Does an explicit suitability protocol in the deployment prompt reduce breaches, and does it make advice more conservative than the profile warrants?</w:t>
      </w:r>
    </w:p>
    <w:p>
      <w:pPr>
        <w:spacing w:after="120" w:line="276" w:lineRule="auto"/>
        <w:ind w:firstLine="567"/>
        <w:jc w:val="both"/>
      </w:pPr>
      <w:r>
        <w:rPr>
          <w:rFonts w:ascii="Times New Roman" w:cs="Times New Roman" w:eastAsia="SimSun" w:hAnsi="Times New Roman"/>
          <w:b/>
          <w:bCs/>
        </w:rPr>
        <w:t xml:space="preserve">RQ4 (Reliability and sensitivity).</w:t>
      </w:r>
      <w:r>
        <w:rPr>
          <w:rFonts w:ascii="Times New Roman" w:cs="Times New Roman" w:eastAsia="SimSun" w:hAnsi="Times New Roman"/>
        </w:rPr>
        <w:t xml:space="preserve"> How consistent are recommendations for the same investor across repeated queries, in equity exposure, fund choice and breach status, and how do they change when a single attribute is altered?</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RQ1 to RQ4?</w:t>
      </w:r>
    </w:p>
    <w:p>
      <w:pPr>
        <w:spacing w:after="120" w:line="276" w:lineRule="auto"/>
        <w:ind w:firstLine="567"/>
        <w:jc w:val="both"/>
      </w:pPr>
      <w:r>
        <w:rPr>
          <w:rFonts w:ascii="Times New Roman" w:cs="Times New Roman" w:eastAsia="SimSun" w:hAnsi="Times New Roman"/>
        </w:rPr>
        <w:t xml:space="preserve">The hypotheses were fixed before any model was queried; H1-H4 address RQ1, H6 RQ2, H5 RQ3 and H7 RQ4.</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other attributes held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other attributes held constant,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(Ross &amp;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attributes conflict, namely aggressive investors with horizons under three years, because models tend to follow what the user appears to want (Sharma et al., 2024).</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give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theory the right share of risky assets depends on risk aversion and total wealth, including human capital: flexible labour supply lets a worker take more financial risk (Bodie et al., 1992), and when labour income behaves like a bond, the optimal equity share declines with age (Cocco et al., 2005). Horizon matters through liquidity, since money needed within months cannot wait for a recovery.</w:t>
      </w:r>
    </w:p>
    <w:p>
      <w:pPr>
        <w:spacing w:after="120" w:line="276" w:lineRule="auto"/>
        <w:ind w:firstLine="567"/>
        <w:jc w:val="both"/>
      </w:pPr>
      <w:r>
        <w:rPr>
          <w:rFonts w:ascii="Times New Roman" w:cs="Times New Roman" w:eastAsia="SimSun" w:hAnsi="Times New Roman"/>
        </w:rPr>
        <w:t xml:space="preserve">In China, the CSRC's suitability measures (Order No. 130 of 2016, amended in 2020) require institutions to assess each investor's objectives, horizon and risk tolerance and to match investors with products (CSRC, 2020). For fund distribution, the AMAC (2017) guideline sorts investors into classes C1 to C5 and products into ratings R1 to R5 and applies a ceiling rule: C1 investors may buy only R1 products, C2 investors R1 and R2, and so on. The rule neither limits how much of a portfolio may sit at the ceiling nor stops a short-horizon investor in a high class from holding only equity funds, which is why this study adds horizon and liquidity benchmarks.</w:t>
      </w:r>
    </w:p>
    <w:p>
      <w:pPr>
        <w:pStyle w:val="Heading2"/>
        <w:keepNext/>
        <w:spacing w:after="120" w:before="200" w:line="276" w:lineRule="auto"/>
      </w:pPr>
      <w:r>
        <w:rPr>
          <w:rFonts w:ascii="Times New Roman" w:cs="Times New Roman" w:eastAsia="SimSun" w:hAnsi="Times New Roman"/>
          <w:b/>
          <w:bCs/>
          <w:sz w:val="24"/>
          <w:szCs w:val="24"/>
        </w:rPr>
        <w:t xml:space="preserve">3.2 Human, robo- and LLM advisers</w:t>
      </w:r>
    </w:p>
    <w:p>
      <w:pPr>
        <w:spacing w:after="120" w:line="276" w:lineRule="auto"/>
        <w:ind w:firstLine="567"/>
        <w:jc w:val="both"/>
      </w:pPr>
      <w:r>
        <w:rPr>
          <w:rFonts w:ascii="Times New Roman" w:cs="Times New Roman" w:eastAsia="SimSun" w:hAnsi="Times New Roman"/>
        </w:rPr>
        <w:t xml:space="preserve">Human advice is uneven. The identity of a Canadian adviser explained more of a client's portfolio risk than the client's own characteristics (Foerster et al., 2017), and advisers in an audit study reinforced biases that served their own interests (Mullainathan et al., 2012). Investors nonetheless delegate to "money doctors" they trust (Gennaioli et al., 2015), as they may to a fluent chatbot. Robo-advisers improved diversification (D'Acunto et al., 2019) and can learn a client's risk profile through interaction (Capponi et al., 2022), but they are built for advice; a general-purpose LLM has no questionnaire, product database or suitability check unless a deployer adds them.</w:t>
      </w:r>
    </w:p>
    <w:p>
      <w:pPr>
        <w:spacing w:after="120" w:line="276" w:lineRule="auto"/>
        <w:ind w:firstLine="567"/>
        <w:jc w:val="both"/>
      </w:pPr>
      <w:r>
        <w:rPr>
          <w:rFonts w:ascii="Times New Roman" w:cs="Times New Roman" w:eastAsia="SimSun" w:hAnsi="Times New Roman"/>
        </w:rPr>
        <w:t xml:space="preserve">Research on LLM advice is recent. Niszczota and Abbas (2023) tested GPT models on financial literacy, Lo and Ross (2024) named tailoring, ethical alignment and regulatory compliance as obstacles to trusting them, and Oehler and Horn (2024) compared ChatGPT with robo-advisers. Fieberg et al. (2025) found sensible average tailoring across 32 models, but closer studies are less reassuring: Ross and Lo (2026) found decision-tree-like heuristics in GPT-4o's advice to 1,000 synthetic clients, Choukhmane et al. (2026) traced about two-thirds of the gender gap in recommended equity to how men and women worded their prompts, and Foltyn and Olsson (2026) isolated a label effect of about 1.8 percentage points. Barbieri et al. (2026) argue that recommendations should first be audited as executable actions, checking validity and stability across repeated runs.</w:t>
      </w:r>
    </w:p>
    <w:p>
      <w:pPr>
        <w:pStyle w:val="Heading2"/>
        <w:keepNext/>
        <w:spacing w:after="120" w:before="200" w:line="276" w:lineRule="auto"/>
      </w:pPr>
      <w:r>
        <w:rPr>
          <w:rFonts w:ascii="Times New Roman" w:cs="Times New Roman" w:eastAsia="SimSun" w:hAnsi="Times New Roman"/>
          <w:b/>
          <w:bCs/>
          <w:sz w:val="24"/>
          <w:szCs w:val="24"/>
        </w:rPr>
        <w:t xml:space="preserve">3.3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design. Models can produce fluent but false content (Ji et al., 2023), outputs vary across identical runs (Atil et al., 2024), outputs are sensitive to the form of the prompt (Sclar et al., 2024), and assistants trained on human preferences tend to tell users what they appear to want (Sharma et al., 2024). An audit therefore needs a fixed product menu, repeated queries and conditions that differ in one element only.</w:t>
      </w:r>
    </w:p>
    <w:p>
      <w:pPr>
        <w:spacing w:after="120" w:line="276" w:lineRule="auto"/>
        <w:ind w:firstLine="567"/>
        <w:jc w:val="both"/>
      </w:pPr>
      <w:r>
        <w:rPr>
          <w:rFonts w:ascii="Times New Roman" w:cs="Times New Roman" w:eastAsia="SimSun" w:hAnsi="Times New Roman"/>
        </w:rPr>
        <w:t xml:space="preserve">Audit studies identify differential treatment by varying one attribute of otherwise identical applications (Bertrand &amp; Mullainathan, 2004). No study so far combines an orthogonal design, scoring against a real matching rule with real product ratings, a within-investor test of a prompt-level guardrail and a back-test of every recommended portfolio. This study does so in the Chinese fund market, whose C1-C5 and R1-R5 framework offers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course's example audit, API-calling script and presentation template served as orientation only; this study uses its own question, profiles, prompts and fund menu. Four references in the example could not be found in any bibliographic database and its fund list predates an August 2026 re-rating by the issuer, so every fund and reference used here was verified afresh.</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two prompt conditions and three models vary within investors (Table 1, Figure 1). Each of the 200 synthetic investors occupies one cell of the 5 x 5 x 8 factorial and is advised by every model under both conditions. The 1,200 main observations are therefore repeated measures on 200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4.3 Conditions and controls</w:t>
      </w:r>
    </w:p>
    <w:p>
      <w:pPr>
        <w:spacing w:after="120" w:line="276" w:lineRule="auto"/>
        <w:ind w:firstLine="567"/>
        <w:jc w:val="both"/>
      </w:pPr>
      <w:r>
        <w:rPr>
          <w:rFonts w:ascii="Times New Roman" w:cs="Times New Roman" w:eastAsia="SimSun" w:hAnsi="Times New Roman"/>
        </w:rPr>
        <w:t xml:space="preserve">The conditions represent two ways a platform might deploy a general-purpose model. Under BASE, the system prompt casts the model as an adviser on a licensed distribution platform, lists the menu with each fund's risk rating and specifies a JSON reply. Under SUIT, a four-step protocol is appended: classify the client into C1 to C5; recommend only funds rated at or below that class; check each fund against the horizon, liquidity need and minimum holding period; and state and resolve any conflict in the profile. BASE is an exact prefix of SUIT (verified by an automated test), and because ratings appear in both, a BASE breach cannot be blamed on missing information. Everything else is held constant, gender, names and cities never appear, and calls run in random order.</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(Table 2). The five risk classes combine attitudes, reactions to losses and the maximum acceptable decline, as risk-tolerance questionnaires do (Grable &amp; Lytton, 1999), and differ in degree rather than kind (Table 3). Age bands cover ages 18 to 85 without gaps and follow life-cycle stages: 18-24, 25-34, 35-44, 45-54, 55-59, 60-64, 65-74 and 75-85 (A1 to A8).</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and consistency of profiles</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occurs exactly once, giving 40 investors per horizon band and risk class and 25 per age band, with every pair of attributes independent (Cramer's V = 0). Random sampling would have produced uneven cells and confounded age with horizon. Exact values were drawn within cells with a fixed seed, and identifiers were assigned after shuffling.</w:t>
      </w:r>
    </w:p>
    <w:p>
      <w:pPr>
        <w:spacing w:after="120" w:line="276" w:lineRule="auto"/>
        <w:ind w:firstLine="567"/>
        <w:jc w:val="both"/>
      </w:pPr>
      <w:r>
        <w:rPr>
          <w:rFonts w:ascii="Times New Roman" w:cs="Times New Roman" w:eastAsia="SimSun" w:hAnsi="Times New Roman"/>
        </w:rPr>
        <w:t xml:space="preserve">The price of orthogonality is realism: the sample contains, for example, 80-year-olds with horizons above ten years. Each profile therefore also states employment and income, objective, liquidity need, experience and amount, so that it covers the know-your-client items of the suitability rules (CSRC, 2020); these are derived from age and horizon by explicit rules: only investors aged 60 or older are retired, experience cannot exceed age minus 18, and legacy goals occur only from age 65 with a long horizon, which is how an 80-year-old can coherently hold a 12-year horizon. These attributes serve realism and enter robustness checks as covariates; the probe module isolates each attribute.</w:t>
      </w:r>
    </w:p>
    <w:p>
      <w:pPr>
        <w:pStyle w:val="Heading2"/>
        <w:keepNext/>
        <w:spacing w:after="120" w:before="200" w:line="276" w:lineRule="auto"/>
      </w:pPr>
      <w:r>
        <w:rPr>
          <w:rFonts w:ascii="Times New Roman" w:cs="Times New Roman" w:eastAsia="SimSun" w:hAnsi="Times New Roman"/>
          <w:b/>
          <w:bCs/>
          <w:sz w:val="24"/>
          <w:szCs w:val="24"/>
        </w:rPr>
        <w:t xml:space="preserve">5.3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to counts, identifiers, factorial coverage, band consistency, the consistency rules, duplicates and attribute independence; all pass (Appendix B). Forty investors, eight per risk class, are queried twice more under each condition and model. For the probe module (audit pairs differing in one attribute), ten anchors were rewritten with one attribute moved through all its levels, using neutral wording valid at every level; the 160 versions reduce to 138 distinct texts. A 60-call pilot with 10 investors checked parsing and is excluded from the analysis.</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menu mirrors a platform's shelf, makes every reply codable and separates suitability from the fabrication of non-existent products (Ji et al., 2023). The funds are open-end retail funds with at least three years of history from 14 managers. They span money market, bond, hybrid, broad and sector index funds, four QDII funds investing in US, Hong Kong and global energy equities, a gold fund and a target-risk pension fund of funds whose three-year minimum holding period provides a direct liquidity test (Table 4; full list in Appendix D). Only Chinese-registered funds are used, because mainland investors cannot buy foreign-domiciled funds directly and such funds carry no R1-R5 rating; QDII funds supply overseas exposure within the domestic framework.</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w:t>
      </w:r>
    </w:p>
    <w:p>
      <w:pPr>
        <w:spacing w:after="120" w:line="276" w:lineRule="auto"/>
        <w:ind w:firstLine="567"/>
        <w:jc w:val="both"/>
      </w:pPr>
      <w:r>
        <w:rPr>
          <w:rFonts w:ascii="Times New Roman" w:cs="Times New Roman" w:eastAsia="SimSun" w:hAnsi="Times New Roman"/>
        </w:rPr>
        <w:t xml:space="preserve">The course data service (Tonghuashun data via fuyao.aicubes.cn) supplies adjusted net asset values but no product risk rating. Ratings were therefore taken from the structured rating field of Eastmoney's Tiantian Fund, a licensed distributor, on 23 October 2026, with each fund's stock share from its 30 June 2026 report. Because ratings change (one manager re-rated more than twenty funds in August 2026), the retrieval date is part of the data. The menu contains no R5 fund, so a C4 or C5 investor cannot breach the rating ceiling and the rating test is informative only for classes C1 to C3. Equity exposure is each fund's reported stock share, or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carries the platform's instructions: the adviser role, the menu (code, name, manager, type, rating and notes on index, QDII status and holding period), the reply format and, under SUIT, the protocol. The user message is the investor: "Here is my situation:", the profile and a request for a portfolio (Appendix C). The JSON format asks for codes, whole-number weights, reasons, a dollar-cost-averaging flag, a rebalancing rule, risk warnings and an explanation; replies that break it are recorded as failures, never repaired by hand. The risk class code never appears, so under SUIT the model must classify the investor itself. The fixed menu order keeps conditions comparable but confounds menu position with fund appeal (Sclar et al., 2024).</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5). The course route, the Volcano Engine Ark Agent Plan, could not be used because the group's keys were ordinary Ark keys, which the Agent Plan endpoint rejected. The same model families were therefore called through OpenRouter, an OpenAI-compatible gateway, with each model pinned to one serving provider and fallbacks disabled. Temperature is 0.7, as in the course's reference script, so sampling is stochastic and the consistency module measures the variation. Reasoning modes were disabled for all three models; for Kimi this was done after the pilot, in which it spent its whole output allowance on hidden reasoning and returned no answer.</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2"/>
        <w:gridCol w:w="2912"/>
        <w:gridCol w:w="2718"/>
        <w:gridCol w:w="2134"/>
      </w:tblGrid>
      <w:tr>
        <w:trPr>
          <w:tblHeader/>
        </w:trPr>
        <w:tc>
          <w:tcPr>
            <w:tcW w:type="dxa" w:w="12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29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27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21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bytedance-seed/seed-2.0-mini</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deepseek/deepseek-v4-flash</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moonshotai/kimi-k2.6</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Serving provider (pinned)</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Seed (ByteDance)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SiliconFlow</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r>
      <w:tr>
        <w:trPr>
          <w:tblHeader w:val="false"/>
        </w:trPr>
        <w:tc>
          <w:tcPr>
            <w:tcW w:type="dxa" w:w="12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29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27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OpenRouter (https://openrouter.ai/api/v1) on 23 October 2026; settings in config/experiment_config.json. The serving provider and returned model identifier are logged for every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ran in one random order. Each call is appended to a log as soon as it finishes, with the model requested and returned, request parameters, SHA-256 hashes of both messages, the raw reply, token usage and timestamps; logs are never edited and the prompts were frozen after the pilot. The providers reported 3.72 million prompt and 1.46 million completion tokens for all 2,588 logged calls, costing USD 3.13 in total.</w:t>
      </w:r>
    </w:p>
    <w:p>
      <w:pPr>
        <w:spacing w:after="120" w:line="276" w:lineRule="auto"/>
        <w:ind w:firstLine="567"/>
        <w:jc w:val="both"/>
      </w:pPr>
      <w:r>
        <w:rPr>
          <w:rFonts w:ascii="Times New Roman" w:cs="Times New Roman" w:eastAsia="SimSun" w:hAnsi="Times New Roman"/>
        </w:rPr>
        <w:t xml:space="preserve">A deterministic script codes each reply, recording whether the JSON parsed directly or only after light repair; off-menu codes are dropped from the risk measures and the remaining weights rescaled, and nothing is imputed (Appendix E). Each portfolio is then back-tested with monthly rebalancing on adjusted net asset values over the longest window of complete months, up to 60, that ends in September 2026 and is covered for every fund. Its worst rolling 12-month return is compared with the maximum one-year loss the investor accepts: none, 5%, 15%, 25% and 40% for C1 to C5. These are historical, descriptive measures, not forecasts. A script added after the main analysis (src/performance.py) computes Sharpe and Calmar ratios, net-of-fee returns and three benchmarks: a 60/40 mix, the target-risk fund 006580 and a robo-style, rating-compliant model portfolio per class.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6 groups the outcomes by the four evaluation dimensions of Section 2. Equity exposure is the main continuous outcome because suitability rules and life-cycle theory speak to it most directly. Because the equity caps are judgements, the rating breach, which involves none, is always reported beside them.</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Evaluation metrics by dimension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1"/>
        <w:gridCol w:w="2783"/>
        <w:gridCol w:w="3772"/>
      </w:tblGrid>
      <w:tr>
        <w:trPr>
          <w:tblHeader/>
        </w:trPr>
        <w:tc>
          <w:tcPr>
            <w:tcW w:type="dxa" w:w="24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Dimension</w:t>
            </w:r>
          </w:p>
        </w:tc>
        <w:tc>
          <w:tcPr>
            <w:tcW w:type="dxa" w:w="278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37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Executable advice</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an on-menu fund; off-menu codes; weights summing to 100 within 1 point</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Suitability (primary; RQ1-RQ3)</w:t>
            </w: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 (main outcome)</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weight of such funds</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(SUIT)</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handling</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acknowledgement (double-coded); conflicts listed (SUIT)</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Performance (added later)</w:t>
            </w: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Return and risk</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Return, volatility, Sharpe, drawdown, Calmar; three benchmarks; fees</w:t>
            </w:r>
          </w:p>
        </w:tc>
      </w:tr>
      <w:tr>
        <w:trPr>
          <w:tblHeader w:val="false"/>
        </w:trPr>
        <w:tc>
          <w:tcPr>
            <w:tcW w:type="dxa" w:w="24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Additional (RQ4)</w:t>
            </w:r>
          </w:p>
        </w:tc>
        <w:tc>
          <w:tcPr>
            <w:tcW w:type="dxa" w:w="27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377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of equity over three replicates; Jaccard similarity of fund sets</w:t>
            </w:r>
          </w:p>
        </w:tc>
      </w:tr>
      <w:tr>
        <w:trPr>
          <w:tblHeader w:val="false"/>
        </w:trPr>
        <w:tc>
          <w:tcPr>
            <w:tcW w:type="dxa" w:w="24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78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37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not regulatory limits. RQ5 compares the models on all suitability and reliability measures.</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7). With 200 paired investors per model, the Wilcoxon test has about 80% power for d_z = 0.2, so effect sizes lead the interpretation. Robustness checks drop repaired parses, off-menu replies and invalid weight sums, count a breach only above 5% of the portfolio, add experience, log amount and income stability as covariates, and recompute equity with category assumptions for every fund.</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5"/>
        <w:gridCol w:w="4215"/>
        <w:gridCol w:w="3296"/>
      </w:tblGrid>
      <w:tr>
        <w:trPr>
          <w:tblHeader/>
        </w:trPr>
        <w:tc>
          <w:tcPr>
            <w:tcW w:type="dxa" w:w="15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2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2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Discordant pairs; rank-biserial r; d_z</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5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2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2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set of tests (Holm, 1979). Interpretation rests on effect sizes, not significance alone (Cohen, 1988).</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spacing w:after="120" w:line="276" w:lineRule="auto"/>
        <w:ind w:firstLine="567"/>
        <w:jc w:val="both"/>
      </w:pPr>
      <w:r>
        <w:rPr>
          <w:rFonts w:ascii="Times New Roman" w:cs="Times New Roman" w:eastAsia="SimSun" w:hAnsi="Times New Roman"/>
        </w:rPr>
        <w:t xml:space="preserve">All 2,508 planned calls succeeded on 23 October 2026. Every number below comes from tables written by the analysis scripts (references such as T10 denote files in outputs/tables) and refers to the main sample unless stated.</w:t>
      </w:r>
    </w:p>
    <w:p>
      <w:pPr>
        <w:pStyle w:val="Heading2"/>
        <w:keepNext/>
        <w:spacing w:after="120" w:before="200" w:line="276" w:lineRule="auto"/>
      </w:pPr>
      <w:r>
        <w:rPr>
          <w:rFonts w:ascii="Times New Roman" w:cs="Times New Roman" w:eastAsia="SimSun" w:hAnsi="Times New Roman"/>
          <w:b/>
          <w:bCs/>
          <w:sz w:val="24"/>
          <w:szCs w:val="24"/>
        </w:rPr>
        <w:t xml:space="preserve">9.1 Data quality and feasibility</w:t>
      </w:r>
    </w:p>
    <w:p>
      <w:pPr>
        <w:spacing w:after="120" w:line="276" w:lineRule="auto"/>
        <w:ind w:firstLine="567"/>
        <w:jc w:val="both"/>
      </w:pPr>
      <w:r>
        <w:rPr>
          <w:rFonts w:ascii="Times New Roman" w:cs="Times New Roman" w:eastAsia="SimSun" w:hAnsi="Times New Roman"/>
        </w:rPr>
        <w:t xml:space="preserve">The models almost always produced executable advice. Of 2,568 coded replies, including the pilot, three Doubao replies were malformed JSON and two DeepSeek replies each named one off-menu fund, leaving 1,199 codable main-sample replies, all with weights summing to 100 (T04). DeepSeek alone deviated from the format, naming only one or two funds in 51 main-sample replies. Kimi built the most diversified portfolios (5.2-5.7 funds on average, against 4.2-4.6) and recommended dollar-cost averaging most often (61-69% of replies, against 20-28% for Doubao).</w:t>
      </w:r>
    </w:p>
    <w:p>
      <w:pPr>
        <w:pStyle w:val="Heading2"/>
        <w:keepNext/>
        <w:spacing w:after="120" w:before="200" w:line="276" w:lineRule="auto"/>
      </w:pPr>
      <w:r>
        <w:rPr>
          <w:rFonts w:ascii="Times New Roman" w:cs="Times New Roman" w:eastAsia="SimSun" w:hAnsi="Times New Roman"/>
          <w:b/>
          <w:bCs/>
          <w:sz w:val="24"/>
          <w:szCs w:val="24"/>
        </w:rPr>
        <w:t xml:space="preserve">9.2 Responsiveness to risk tolerance, horizon and age (RQ1)</w:t>
      </w:r>
    </w:p>
    <w:p>
      <w:pPr>
        <w:spacing w:after="120" w:line="276" w:lineRule="auto"/>
        <w:ind w:firstLine="567"/>
        <w:jc w:val="both"/>
      </w:pPr>
      <w:r>
        <w:rPr>
          <w:rFonts w:ascii="Times New Roman" w:cs="Times New Roman" w:eastAsia="SimSun" w:hAnsi="Times New Roman"/>
        </w:rPr>
        <w:t xml:space="preserve">Equity exposure followed risk tolerance closely (Figure 2). Under BASE, mean equity rose from 0.1-0.8% for C1 investors to 62.5-72.9% for C5 investors, and under SUIT from 0% to 53.2-64.1%, with rho = 0.69-0.83 and partial eta squared 0.66-0.83 (Table 8, Figure 5). Horizon mattered mainly at one point (Figure 3): investors who needed their money within a year received almost no equity (BASE means 0.9-7.0%), those with one to three years 26.3-34.2%, and those with ten years or more only 42.0-44.5%. Age barely mattered (Figure 4); its correlation with equity was negative in every cell but small (-0.04 to -0.11) and never significant after Holm adjustment.</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Responsiveness of equity exposure to the three investor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1310"/>
        <w:gridCol w:w="777"/>
        <w:gridCol w:w="1127"/>
        <w:gridCol w:w="869"/>
        <w:gridCol w:w="1241"/>
        <w:gridCol w:w="1279"/>
        <w:gridCol w:w="1230"/>
      </w:tblGrid>
      <w:tr>
        <w:trPr>
          <w:tblHeader/>
        </w:trPr>
        <w:tc>
          <w:tcPr>
            <w:tcW w:type="dxa" w:w="1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7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risk</w:t>
            </w:r>
          </w:p>
        </w:tc>
        <w:tc>
          <w:tcPr>
            <w:tcW w:type="dxa" w:w="112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horizon</w:t>
            </w:r>
          </w:p>
        </w:tc>
        <w:tc>
          <w:tcPr>
            <w:tcW w:type="dxa" w:w="8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age</w:t>
            </w:r>
          </w:p>
        </w:tc>
        <w:tc>
          <w:tcPr>
            <w:tcW w:type="dxa" w:w="12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risk</w:t>
            </w:r>
          </w:p>
        </w:tc>
        <w:tc>
          <w:tcPr>
            <w:tcW w:type="dxa" w:w="12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horizon</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age</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0.79</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0.69</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-0.11</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-0.09</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0.78</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0.41</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0.52</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0.03</w:t>
            </w:r>
          </w:p>
        </w:tc>
      </w:tr>
      <w:tr>
        <w:trPr>
          <w:tblHeader w:val="false"/>
        </w:trPr>
        <w:tc>
          <w:tcPr>
            <w:tcW w:type="dxa" w:w="1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12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0.47</w:t>
            </w:r>
          </w:p>
        </w:tc>
        <w:tc>
          <w:tcPr>
            <w:tcW w:type="dxa" w:w="8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0.66</w:t>
            </w:r>
          </w:p>
        </w:tc>
        <w:tc>
          <w:tcPr>
            <w:tcW w:type="dxa" w:w="12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0.46</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Spearman correlations (n = 200; 199 for Doubao SUIT) from T08 and Type II ANOVA from T09. All risk and horizon effects have Holm-adjusted p &lt; 0.001; no age effect has Holm-adjusted p &lt; 0.05.</w:t>
      </w:r>
    </w:p>
    <w:p>
      <w:pPr>
        <w:spacing w:after="120" w:line="276" w:lineRule="auto"/>
        <w:ind w:firstLine="567"/>
        <w:jc w:val="both"/>
      </w:pPr>
      <w:r>
        <w:rPr>
          <w:rFonts w:ascii="Times New Roman" w:cs="Times New Roman" w:eastAsia="SimSun" w:hAnsi="Times New Roman"/>
        </w:rPr>
        <w:t xml:space="preserve">The pooled regression with investor-clustered errors gives 18.2 percentage points more equity per risk-class step (95% CI 16.5 to 19.8), 8.7 per horizon step (7.0 to 10.4) and 1.2 less per age band (-2.1 to -0.3), with R squared 0.73 (T10); adding experience, amount and income stability leaves these estimates unchanged (T21). Risk class alone accounts for 51-70% of the total variance in equity, horizon and age together for 15-23% (T09).</w:t>
      </w:r>
    </w:p>
    <w:p>
      <w:pPr>
        <w:keepNext/>
        <w:spacing w:after="0" w:before="200" w:line="276" w:lineRule="auto"/>
        <w:jc w:val="left"/>
      </w:pPr>
      <w:r>
        <w:rPr>
          <w:rFonts w:ascii="Times New Roman" w:cs="Times New Roman" w:eastAsia="SimSun" w:hAnsi="Times New Roman"/>
          <w:b/>
          <w:bCs/>
        </w:rPr>
        <w:t xml:space="preserve">Figure 2</w:t>
      </w:r>
    </w:p>
    <w:p>
      <w:pPr>
        <w:keepNext/>
        <w:spacing w:after="80" w:before="0" w:line="276" w:lineRule="auto"/>
        <w:jc w:val="left"/>
      </w:pPr>
      <w:r>
        <w:rPr>
          <w:rFonts w:ascii="Times New Roman" w:cs="Times New Roman" w:eastAsia="SimSun" w:hAnsi="Times New Roman"/>
          <w:i/>
          <w:iCs/>
        </w:rPr>
        <w:t xml:space="preserve">Mean equity exposure by investor risk class</w:t>
      </w:r>
    </w:p>
    <w:p>
      <w:pPr>
        <w:keepNext/>
        <w:spacing w:after="60" w:before="60" w:line="240" w:lineRule="auto"/>
        <w:jc w:val="center"/>
      </w:pPr>
      <w:r>
        <w:drawing>
          <wp:inline distT="0" distB="0" distL="0" distR="0">
            <wp:extent cx="5715000" cy="4371975"/>
            <wp:effectExtent t="0" r="0" b="0" l="0"/>
            <wp:docPr id="1" name="Figure 2. Mean equity exposure by investor risk class" descr="Figure 2. Mean equity exposure by investor risk class" title="Figure 2. Mean equity exposure by investor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719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equity ceiling implied by the risk class (0, 20, 50, 80 and 100%). n = 40 per point (39 for Doubao SUIT C5).</w:t>
      </w:r>
    </w:p>
    <w:p>
      <w:pPr>
        <w:keepNext/>
        <w:spacing w:after="0" w:before="200" w:line="276" w:lineRule="auto"/>
        <w:jc w:val="left"/>
      </w:pPr>
      <w:r>
        <w:rPr>
          <w:rFonts w:ascii="Times New Roman" w:cs="Times New Roman" w:eastAsia="SimSun" w:hAnsi="Times New Roman"/>
          <w:b/>
          <w:bCs/>
        </w:rPr>
        <w:t xml:space="preserve">Figure 3</w:t>
      </w:r>
    </w:p>
    <w:p>
      <w:pPr>
        <w:keepNext/>
        <w:spacing w:after="80" w:before="0" w:line="276" w:lineRule="auto"/>
        <w:jc w:val="left"/>
      </w:pPr>
      <w:r>
        <w:rPr>
          <w:rFonts w:ascii="Times New Roman" w:cs="Times New Roman" w:eastAsia="SimSun" w:hAnsi="Times New Roman"/>
          <w:i/>
          <w:iCs/>
        </w:rPr>
        <w:t xml:space="preserve">Mean equity exposure by investment horizon</w:t>
      </w:r>
    </w:p>
    <w:p>
      <w:pPr>
        <w:keepNext/>
        <w:spacing w:after="60" w:before="60" w:line="240" w:lineRule="auto"/>
        <w:jc w:val="center"/>
      </w:pPr>
      <w:r>
        <w:drawing>
          <wp:inline distT="0" distB="0" distL="0" distR="0">
            <wp:extent cx="5715000" cy="4429125"/>
            <wp:effectExtent t="0" r="0" b="0" l="0"/>
            <wp:docPr id="1" name="Figure 3. Mean equity exposure by investment horizon" descr="Figure 3. Mean equity exposure by investment horizon" title="Figure 3. Mean equity exposure by investmen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291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point (39 for Doubao SUIT H4).</w:t>
      </w:r>
    </w:p>
    <w:p>
      <w:pPr>
        <w:keepNext/>
        <w:spacing w:after="0" w:before="200" w:line="276" w:lineRule="auto"/>
        <w:jc w:val="left"/>
      </w:pPr>
      <w:r>
        <w:rPr>
          <w:rFonts w:ascii="Times New Roman" w:cs="Times New Roman" w:eastAsia="SimSun" w:hAnsi="Times New Roman"/>
          <w:b/>
          <w:bCs/>
        </w:rPr>
        <w:t xml:space="preserve">Figure 4</w:t>
      </w:r>
    </w:p>
    <w:p>
      <w:pPr>
        <w:keepNext/>
        <w:spacing w:after="80" w:before="0" w:line="276" w:lineRule="auto"/>
        <w:jc w:val="left"/>
      </w:pPr>
      <w:r>
        <w:rPr>
          <w:rFonts w:ascii="Times New Roman" w:cs="Times New Roman" w:eastAsia="SimSun" w:hAnsi="Times New Roman"/>
          <w:i/>
          <w:iCs/>
        </w:rPr>
        <w:t xml:space="preserve">Mean equity exposure by age band</w:t>
      </w:r>
    </w:p>
    <w:p>
      <w:pPr>
        <w:keepNext/>
        <w:spacing w:after="60" w:before="60" w:line="240" w:lineRule="auto"/>
        <w:jc w:val="center"/>
      </w:pPr>
      <w:r>
        <w:drawing>
          <wp:inline distT="0" distB="0" distL="0" distR="0">
            <wp:extent cx="5715000" cy="4448175"/>
            <wp:effectExtent t="0" r="0" b="0" l="0"/>
            <wp:docPr id="1" name="Figure 4. Mean equity exposure by age band" descr="Figure 4. Mean equity exposure by age band" title="Figure 4. Mean equity exposure by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48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25 per point (24 for Doubao SUIT A2).</w:t>
      </w:r>
    </w:p>
    <w:p>
      <w:pPr>
        <w:keepNext/>
        <w:spacing w:after="0" w:before="200" w:line="276" w:lineRule="auto"/>
        <w:jc w:val="left"/>
      </w:pPr>
      <w:r>
        <w:rPr>
          <w:rFonts w:ascii="Times New Roman" w:cs="Times New Roman" w:eastAsia="SimSun" w:hAnsi="Times New Roman"/>
          <w:b/>
          <w:bCs/>
        </w:rPr>
        <w:t xml:space="preserve">Figure 5</w:t>
      </w:r>
    </w:p>
    <w:p>
      <w:pPr>
        <w:keepNext/>
        <w:spacing w:after="80" w:before="0" w:line="276" w:lineRule="auto"/>
        <w:jc w:val="left"/>
      </w:pPr>
      <w:r>
        <w:rPr>
          <w:rFonts w:ascii="Times New Roman" w:cs="Times New Roman" w:eastAsia="SimSun" w:hAnsi="Times New Roman"/>
          <w:i/>
          <w:iCs/>
        </w:rPr>
        <w:t xml:space="preserve">Relative importance of the three attributes</w:t>
      </w:r>
    </w:p>
    <w:p>
      <w:pPr>
        <w:keepNext/>
        <w:spacing w:after="60" w:before="60" w:line="240" w:lineRule="auto"/>
        <w:jc w:val="center"/>
      </w:pPr>
      <w:r>
        <w:drawing>
          <wp:inline distT="0" distB="0" distL="0" distR="0">
            <wp:extent cx="5715000" cy="3057525"/>
            <wp:effectExtent t="0" r="0" b="0" l="0"/>
            <wp:docPr id="1" name="Figure 5. Relative importance of the three attributes" descr="Figure 5. Relative importance of the three attributes" title="Figure 5. Relative importance of the three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Type II ANOVA of equity exposure, per model and condition.</w:t>
      </w:r>
    </w:p>
    <w:p>
      <w:pPr>
        <w:pStyle w:val="Heading2"/>
        <w:keepNext/>
        <w:spacing w:after="120" w:before="200" w:line="276" w:lineRule="auto"/>
      </w:pPr>
      <w:r>
        <w:rPr>
          <w:rFonts w:ascii="Times New Roman" w:cs="Times New Roman" w:eastAsia="SimSun" w:hAnsi="Times New Roman"/>
          <w:b/>
          <w:bCs/>
          <w:sz w:val="24"/>
          <w:szCs w:val="24"/>
        </w:rPr>
        <w:t xml:space="preserve">9.3 Suitability breaches (RQ2)</w:t>
      </w:r>
    </w:p>
    <w:p>
      <w:pPr>
        <w:spacing w:after="120" w:line="276" w:lineRule="auto"/>
        <w:ind w:firstLine="567"/>
        <w:jc w:val="both"/>
      </w:pPr>
      <w:r>
        <w:rPr>
          <w:rFonts w:ascii="Times New Roman" w:cs="Times New Roman" w:eastAsia="SimSun" w:hAnsi="Times New Roman"/>
        </w:rPr>
        <w:t xml:space="preserve">Under BASE, about half of all recommendations contained a fund rated above the investor's permitted level (Table 9); since no menu fund is rated R5, only C1-C3 investors can breach the rule, and among them the rate was 82.5-85.8% (Figure 6). The breaches were mostly one notch above the ceiling but substantial: 90.5% of breaching replies to C1 investors went no higher than R2, typically bond funds, yet these funds made up 49.8% of the portfolio on average (T23).</w:t>
      </w:r>
    </w:p>
    <w:p>
      <w:pPr>
        <w:keepNext/>
        <w:spacing w:after="0" w:before="200" w:line="276" w:lineRule="auto"/>
        <w:jc w:val="left"/>
      </w:pPr>
      <w:r>
        <w:rPr>
          <w:rFonts w:ascii="Times New Roman" w:cs="Times New Roman" w:eastAsia="SimSun" w:hAnsi="Times New Roman"/>
          <w:b/>
          <w:bCs/>
        </w:rPr>
        <w:t xml:space="preserve">Table 9</w:t>
      </w:r>
    </w:p>
    <w:p>
      <w:pPr>
        <w:keepNext/>
        <w:spacing w:after="80" w:before="0" w:line="276" w:lineRule="auto"/>
        <w:jc w:val="left"/>
      </w:pPr>
      <w:r>
        <w:rPr>
          <w:rFonts w:ascii="Times New Roman" w:cs="Times New Roman" w:eastAsia="SimSun" w:hAnsi="Times New Roman"/>
          <w:i/>
          <w:iCs/>
        </w:rPr>
        <w:t xml:space="preserve">Suitability outcomes by model and condition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2"/>
        <w:gridCol w:w="1477"/>
        <w:gridCol w:w="666"/>
        <w:gridCol w:w="1480"/>
        <w:gridCol w:w="1517"/>
        <w:gridCol w:w="1309"/>
        <w:gridCol w:w="1235"/>
      </w:tblGrid>
      <w:tr>
        <w:trPr>
          <w:tblHeader/>
        </w:trPr>
        <w:tc>
          <w:tcPr>
            <w:tcW w:type="dxa" w:w="134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6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w:t>
            </w:r>
          </w:p>
        </w:tc>
        <w:tc>
          <w:tcPr>
            <w:tcW w:type="dxa" w:w="14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all (%)</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C1-C3 (%)</w:t>
            </w:r>
          </w:p>
        </w:tc>
        <w:tc>
          <w:tcPr>
            <w:tcW w:type="dxa" w:w="130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over cap (%)</w:t>
            </w:r>
          </w:p>
        </w:tc>
        <w:tc>
          <w:tcPr>
            <w:tcW w:type="dxa" w:w="1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equity (%)</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32.0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70.0</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199</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67.5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28.0</w:t>
            </w:r>
          </w:p>
        </w:tc>
      </w:tr>
      <w:tr>
        <w:trPr>
          <w:tblHeader w:val="false"/>
        </w:trPr>
        <w:tc>
          <w:tcPr>
            <w:tcW w:type="dxa" w:w="134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41.7</w:t>
            </w:r>
          </w:p>
        </w:tc>
        <w:tc>
          <w:tcPr>
            <w:tcW w:type="dxa" w:w="130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23.0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T11, T13 and T22. C1-C3 column: n = 120 per cell. Holding-period and loss-tolerance breaches were 0-1% in every cell (T11). Mean equity for Doubao is over the 199 investors with codable replies in both conditions.</w:t>
      </w:r>
    </w:p>
    <w:p>
      <w:pPr>
        <w:keepNext/>
        <w:spacing w:after="0" w:before="200" w:line="276" w:lineRule="auto"/>
        <w:jc w:val="left"/>
      </w:pPr>
      <w:r>
        <w:rPr>
          <w:rFonts w:ascii="Times New Roman" w:cs="Times New Roman" w:eastAsia="SimSun" w:hAnsi="Times New Roman"/>
          <w:b/>
          <w:bCs/>
        </w:rPr>
        <w:t xml:space="preserve">Figure 6</w:t>
      </w:r>
    </w:p>
    <w:p>
      <w:pPr>
        <w:keepNext/>
        <w:spacing w:after="80" w:before="0" w:line="276" w:lineRule="auto"/>
        <w:jc w:val="left"/>
      </w:pPr>
      <w:r>
        <w:rPr>
          <w:rFonts w:ascii="Times New Roman" w:cs="Times New Roman" w:eastAsia="SimSun" w:hAnsi="Times New Roman"/>
          <w:i/>
          <w:iCs/>
        </w:rPr>
        <w:t xml:space="preserve">Share of replies with a fund rated above the permitted level, by risk class</w:t>
      </w:r>
    </w:p>
    <w:p>
      <w:pPr>
        <w:keepNext/>
        <w:spacing w:after="60" w:before="60" w:line="240" w:lineRule="auto"/>
        <w:jc w:val="center"/>
      </w:pPr>
      <w:r>
        <w:drawing>
          <wp:inline distT="0" distB="0" distL="0" distR="0">
            <wp:extent cx="5715000" cy="3238500"/>
            <wp:effectExtent t="0" r="0" b="0" l="0"/>
            <wp:docPr id="1" name="Figure 6. Share of replies with a fund rated above the permitted level, by risk class" descr="Figure 6. Share of replies with a fund rated above the permitted level, by risk class" title="Figure 6. Share of replies with a fund rated above the permitted level,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bar (39 for Doubao SUIT C5).</w:t>
      </w:r>
    </w:p>
    <w:p>
      <w:pPr>
        <w:spacing w:after="120" w:line="276" w:lineRule="auto"/>
        <w:ind w:firstLine="567"/>
        <w:jc w:val="both"/>
      </w:pPr>
      <w:r>
        <w:rPr>
          <w:rFonts w:ascii="Times New Roman" w:cs="Times New Roman" w:eastAsia="SimSun" w:hAnsi="Times New Roman"/>
        </w:rPr>
        <w:t xml:space="preserve">Equity above the combined risk and horizon cap was rarer (18.5-22.0% under BASE) and concentrated among aggressive investors: 32.5-40.0% of C4 and 55.0-62.5% of C5 recommendations (T12). The models cut equity sharply for horizons under one year but treated a C4 or C5 investor with a one-to-three-year horizon almost like a long-horizon one (Figure 7); C5 investors with H2 horizons received 78% equity on average under BASE, against a horizon cap of 30%. As H6 predicted, 50.0-65.6% of BASE recommendations to C4-C5 investors with horizons under three years exceeded the cap, against 15.6-21.9% for those with horizons of five years or more (T17). The fund with a three-year lock-up went to a shorter-horizon investor only once.</w:t>
      </w:r>
    </w:p>
    <w:p>
      <w:pPr>
        <w:keepNext/>
        <w:spacing w:after="0" w:before="200" w:line="276" w:lineRule="auto"/>
        <w:jc w:val="left"/>
      </w:pPr>
      <w:r>
        <w:rPr>
          <w:rFonts w:ascii="Times New Roman" w:cs="Times New Roman" w:eastAsia="SimSun" w:hAnsi="Times New Roman"/>
          <w:b/>
          <w:bCs/>
        </w:rPr>
        <w:t xml:space="preserve">Figure 7</w:t>
      </w:r>
    </w:p>
    <w:p>
      <w:pPr>
        <w:keepNext/>
        <w:spacing w:after="80" w:before="0" w:line="276" w:lineRule="auto"/>
        <w:jc w:val="left"/>
      </w:pPr>
      <w:r>
        <w:rPr>
          <w:rFonts w:ascii="Times New Roman" w:cs="Times New Roman" w:eastAsia="SimSun" w:hAnsi="Times New Roman"/>
          <w:i/>
          <w:iCs/>
        </w:rPr>
        <w:t xml:space="preserve">Mean equity exposure by risk class and horizon</w:t>
      </w:r>
    </w:p>
    <w:p>
      <w:pPr>
        <w:keepNext/>
        <w:spacing w:after="60" w:before="60" w:line="240" w:lineRule="auto"/>
        <w:jc w:val="center"/>
      </w:pPr>
      <w:r>
        <w:drawing>
          <wp:inline distT="0" distB="0" distL="0" distR="0">
            <wp:extent cx="5715000" cy="2676525"/>
            <wp:effectExtent t="0" r="0" b="0" l="0"/>
            <wp:docPr id="1" name="Figure 7. Mean equity exposure by risk class and horizon" descr="Figure 7. Mean equity exposure by risk class and horizon" title="Figure 7. Mean equity exposure by risk class and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Pooled over the three models; each cell averages 24 replies (8 investors x 3 models).</w:t>
      </w:r>
    </w:p>
    <w:p>
      <w:pPr>
        <w:pStyle w:val="Heading2"/>
        <w:keepNext/>
        <w:spacing w:after="120" w:before="200" w:line="276" w:lineRule="auto"/>
      </w:pPr>
      <w:r>
        <w:rPr>
          <w:rFonts w:ascii="Times New Roman" w:cs="Times New Roman" w:eastAsia="SimSun" w:hAnsi="Times New Roman"/>
          <w:b/>
          <w:bCs/>
          <w:sz w:val="24"/>
          <w:szCs w:val="24"/>
        </w:rPr>
        <w:t xml:space="preserve">9.4 Effect of the suitability protocol (RQ3)</w:t>
      </w:r>
    </w:p>
    <w:p>
      <w:pPr>
        <w:spacing w:after="120" w:line="276" w:lineRule="auto"/>
        <w:ind w:firstLine="567"/>
        <w:jc w:val="both"/>
      </w:pPr>
      <w:r>
        <w:rPr>
          <w:rFonts w:ascii="Times New Roman" w:cs="Times New Roman" w:eastAsia="SimSun" w:hAnsi="Times New Roman"/>
        </w:rPr>
        <w:t xml:space="preserve">The protocol improved every suitability measure in every model (Table 10). Rating breaches fell by 9.5 points for DeepSeek, 11.1 for Doubao and 24.5 for Kimi, almost entirely in one direction: among investors whose breach status changed, the protocol removed a breach in 19, 24 and 49 cases and added one in 0, 2 and 0. Equity above the cap fell by 6-7 points and mean equity by 3.4-6.3 points (d_z = -0.27 to -0.63, all Holm p &lt; 0.001). The pooled regression gives 4.9 points less equity under SUIT (95% CI -5.9 to -3.8) and a slightly flatter risk gradient (T10).</w:t>
      </w:r>
    </w:p>
    <w:p>
      <w:pPr>
        <w:keepNext/>
        <w:spacing w:after="0" w:before="200" w:line="276" w:lineRule="auto"/>
        <w:jc w:val="left"/>
      </w:pPr>
      <w:r>
        <w:rPr>
          <w:rFonts w:ascii="Times New Roman" w:cs="Times New Roman" w:eastAsia="SimSun" w:hAnsi="Times New Roman"/>
          <w:b/>
          <w:bCs/>
        </w:rPr>
        <w:t xml:space="preserve">Table 10</w:t>
      </w:r>
    </w:p>
    <w:p>
      <w:pPr>
        <w:keepNext/>
        <w:spacing w:after="80" w:before="0" w:line="276" w:lineRule="auto"/>
        <w:jc w:val="left"/>
      </w:pPr>
      <w:r>
        <w:rPr>
          <w:rFonts w:ascii="Times New Roman" w:cs="Times New Roman" w:eastAsia="SimSun" w:hAnsi="Times New Roman"/>
          <w:i/>
          <w:iCs/>
        </w:rPr>
        <w:t xml:space="preserve">Paired effect of the suitability protocol (SUIT minus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1404"/>
        <w:gridCol w:w="796"/>
        <w:gridCol w:w="796"/>
        <w:gridCol w:w="1601"/>
        <w:gridCol w:w="2131"/>
        <w:gridCol w:w="965"/>
      </w:tblGrid>
      <w:tr>
        <w:trPr>
          <w:tblHeader/>
        </w:trPr>
        <w:tc>
          <w:tcPr>
            <w:tcW w:type="dxa" w:w="13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Outcome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BASE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SUIT</w:t>
            </w:r>
          </w:p>
        </w:tc>
        <w:tc>
          <w:tcPr>
            <w:tcW w:type="dxa" w:w="16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Difference</w:t>
            </w:r>
          </w:p>
        </w:tc>
        <w:tc>
          <w:tcPr>
            <w:tcW w:type="dxa" w:w="21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Discordant pairs (BASE only vs SUIT only)</w:t>
            </w:r>
          </w:p>
        </w:tc>
        <w:tc>
          <w:tcPr>
            <w:tcW w:type="dxa" w:w="9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Holm p</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51.8</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-11.1</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0.029</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20.1</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r>
        <w:trPr>
          <w:tblHeader w:val="false"/>
        </w:trPr>
        <w:tc>
          <w:tcPr>
            <w:tcW w:type="dxa" w:w="13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6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T13. McNemar tests on 200 paired investors (199 for Doubao).</w:t>
      </w:r>
    </w:p>
    <w:p>
      <w:pPr>
        <w:spacing w:after="120" w:line="276" w:lineRule="auto"/>
        <w:ind w:firstLine="567"/>
        <w:jc w:val="both"/>
      </w:pPr>
      <w:r>
        <w:rPr>
          <w:rFonts w:ascii="Times New Roman" w:cs="Times New Roman" w:eastAsia="SimSun" w:hAnsi="Times New Roman"/>
        </w:rPr>
        <w:t xml:space="preserve">The protocol did not, however, produce compliance. Under SUIT, 41.7-70.0% of recommendations to C1-C3 investors still breached the ceiling (T22). Misclassification was not the main cause: the models' own classifications matched the true class in 60.0% (DeepSeek), 86.4% (Doubao) and 88.5% (Kimi) of cases, with quadratic weighted kappa of 0.73, 0.94 and 0.88 (T18), and among correctly classified C1-C3 investors 58.5%, 66.4% and 39.8% of recommendations still breached the rule (T25).</w:t>
      </w:r>
    </w:p>
    <w:p>
      <w:pPr>
        <w:spacing w:after="120" w:line="276" w:lineRule="auto"/>
        <w:ind w:firstLine="567"/>
        <w:jc w:val="both"/>
      </w:pPr>
      <w:r>
        <w:rPr>
          <w:rFonts w:ascii="Times New Roman" w:cs="Times New Roman" w:eastAsia="SimSun" w:hAnsi="Times New Roman"/>
        </w:rPr>
        <w:t xml:space="preserve">The protocol did change how conflicts were handled. For C4-C5 investors with horizons under three years, the double-coded replies told the client about the conflict in 100%, 81.2% and 100% of SUIT cases (DeepSeek, Doubao, Kimi), against 81.2%, 40.6% and 100% under BASE, where naming the conflict did not stop the over-allocation (T34). Mean equity fell from 38.3 to 26.7% (DeepSeek), 46.5 to 33.9% (Doubao) and 29.7 to 14.0% (Kimi). For aggressive long-horizon investors, where no conflict exists, equity barely changed for DeepSeek and Kimi and fell by 6.9 points for Doubao (T17).</w:t>
      </w:r>
    </w:p>
    <w:p>
      <w:pPr>
        <w:pStyle w:val="Heading2"/>
        <w:keepNext/>
        <w:spacing w:after="120" w:before="200" w:line="276" w:lineRule="auto"/>
      </w:pPr>
      <w:r>
        <w:rPr>
          <w:rFonts w:ascii="Times New Roman" w:cs="Times New Roman" w:eastAsia="SimSun" w:hAnsi="Times New Roman"/>
          <w:b/>
          <w:bCs/>
          <w:sz w:val="24"/>
          <w:szCs w:val="24"/>
        </w:rPr>
        <w:t xml:space="preserve">9.5 Consistency and single-attribute sensitivity (RQ4)</w:t>
      </w:r>
    </w:p>
    <w:p>
      <w:pPr>
        <w:spacing w:after="120" w:line="276" w:lineRule="auto"/>
        <w:ind w:firstLine="567"/>
        <w:jc w:val="both"/>
      </w:pPr>
      <w:r>
        <w:rPr>
          <w:rFonts w:ascii="Times New Roman" w:cs="Times New Roman" w:eastAsia="SimSun" w:hAnsi="Times New Roman"/>
        </w:rPr>
        <w:t xml:space="preserve">Asking the same question three times gave similar equity levels but different portfolios (Table 11). The intraclass correlation of equity across replicates was 0.95-0.98, with a mean within-investor standard deviation of 3.1-4.5 points, but the mean Jaccard similarity of the fund sets was only 0.59-0.70, and the breach verdict differed between replicates for 5.0-17.5% of investors.</w:t>
      </w:r>
    </w:p>
    <w:p>
      <w:pPr>
        <w:keepNext/>
        <w:spacing w:after="0" w:before="200" w:line="276" w:lineRule="auto"/>
        <w:jc w:val="left"/>
      </w:pPr>
      <w:r>
        <w:rPr>
          <w:rFonts w:ascii="Times New Roman" w:cs="Times New Roman" w:eastAsia="SimSun" w:hAnsi="Times New Roman"/>
          <w:b/>
          <w:bCs/>
        </w:rPr>
        <w:t xml:space="preserve">Table 11</w:t>
      </w:r>
    </w:p>
    <w:p>
      <w:pPr>
        <w:keepNext/>
        <w:spacing w:after="80" w:before="0" w:line="276" w:lineRule="auto"/>
        <w:jc w:val="left"/>
      </w:pPr>
      <w:r>
        <w:rPr>
          <w:rFonts w:ascii="Times New Roman" w:cs="Times New Roman" w:eastAsia="SimSun" w:hAnsi="Times New Roman"/>
          <w:i/>
          <w:iCs/>
        </w:rPr>
        <w:t xml:space="preserve">Consistency across three replicates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5"/>
        <w:gridCol w:w="1289"/>
        <w:gridCol w:w="1289"/>
        <w:gridCol w:w="1175"/>
        <w:gridCol w:w="1979"/>
        <w:gridCol w:w="1060"/>
        <w:gridCol w:w="1059"/>
      </w:tblGrid>
      <w:tr>
        <w:trPr>
          <w:tblHeader/>
        </w:trPr>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Investors</w:t>
            </w:r>
          </w:p>
        </w:tc>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ICC(1,1) equity [95% CI]</w:t>
            </w:r>
          </w:p>
        </w:tc>
        <w:tc>
          <w:tcPr>
            <w:tcW w:type="dxa" w:w="19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within-investor SD (points)</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Jaccard of fund sets</w:t>
            </w:r>
          </w:p>
        </w:tc>
        <w:tc>
          <w:tcPr>
            <w:tcW w:type="dxa" w:w="10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Same breach verdict (%)</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[0.96,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0.61</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[0.91,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4.5</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0.64</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0.97 [0.95, 0.98]</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0.60</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[0.92,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4.4</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0.59</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84.6</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[0.97,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0.67</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85.0</w:t>
            </w:r>
          </w:p>
        </w:tc>
      </w:tr>
      <w:tr>
        <w:trPr>
          <w:tblHeader w:val="false"/>
        </w:trPr>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0.96 [0.93, 0.98]</w:t>
            </w:r>
          </w:p>
        </w:tc>
        <w:tc>
          <w:tcPr>
            <w:tcW w:type="dxa" w:w="19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0.70</w:t>
            </w:r>
          </w:p>
        </w:tc>
        <w:tc>
          <w:tcPr>
            <w:tcW w:type="dxa" w:w="10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T15. One Doubao SUIT replicate could not be parsed, leaving 39 investors.</w:t>
      </w:r>
    </w:p>
    <w:p>
      <w:pPr>
        <w:spacing w:after="120" w:line="276" w:lineRule="auto"/>
        <w:ind w:firstLine="567"/>
        <w:jc w:val="both"/>
      </w:pPr>
      <w:r>
        <w:rPr>
          <w:rFonts w:ascii="Times New Roman" w:cs="Times New Roman" w:eastAsia="SimSun" w:hAnsi="Times New Roman"/>
        </w:rPr>
        <w:t xml:space="preserve">The probes, which change one attribute at a time, confirm the dominance of risk tolerance and qualify the horizon effect (Figure 8, T16). One risk class up raised equity by 20.3-24.0 points, in the expected direction for every anchor in every cell; one horizon band longer raised it by only 1.0-3.8 points, in the expected direction for 3 to 8 of 10 anchors; and one age band older lowered it by 1.4-3.0 points. The stated horizon alone thus moves the models far less than the 8.7 points per band in the main sample, where horizon comes bundled with consistent objectives.</w:t>
      </w:r>
    </w:p>
    <w:p>
      <w:pPr>
        <w:keepNext/>
        <w:spacing w:after="0" w:before="200" w:line="276" w:lineRule="auto"/>
        <w:jc w:val="left"/>
      </w:pPr>
      <w:r>
        <w:rPr>
          <w:rFonts w:ascii="Times New Roman" w:cs="Times New Roman" w:eastAsia="SimSun" w:hAnsi="Times New Roman"/>
          <w:b/>
          <w:bCs/>
        </w:rPr>
        <w:t xml:space="preserve">Figure 8</w:t>
      </w:r>
    </w:p>
    <w:p>
      <w:pPr>
        <w:keepNext/>
        <w:spacing w:after="80" w:before="0" w:line="276" w:lineRule="auto"/>
        <w:jc w:val="left"/>
      </w:pPr>
      <w:r>
        <w:rPr>
          <w:rFonts w:ascii="Times New Roman" w:cs="Times New Roman" w:eastAsia="SimSun" w:hAnsi="Times New Roman"/>
          <w:i/>
          <w:iCs/>
        </w:rPr>
        <w:t xml:space="preserve">Single-attribute probes</w:t>
      </w:r>
    </w:p>
    <w:p>
      <w:pPr>
        <w:keepNext/>
        <w:spacing w:after="60" w:before="60" w:line="240" w:lineRule="auto"/>
        <w:jc w:val="center"/>
      </w:pPr>
      <w:r>
        <w:drawing>
          <wp:inline distT="0" distB="0" distL="0" distR="0">
            <wp:extent cx="5715000" cy="2638425"/>
            <wp:effectExtent t="0" r="0" b="0" l="0"/>
            <wp:docPr id="1" name="Figure 8. Single-attribute probes" descr="Figure 8. Single-attribute probes" title="Figure 8. Single-attribute pro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384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Averaged over the 10 anchors.</w:t>
      </w:r>
    </w:p>
    <w:p>
      <w:pPr>
        <w:pStyle w:val="Heading2"/>
        <w:keepNext/>
        <w:spacing w:after="120" w:before="200" w:line="276" w:lineRule="auto"/>
      </w:pPr>
      <w:r>
        <w:rPr>
          <w:rFonts w:ascii="Times New Roman" w:cs="Times New Roman" w:eastAsia="SimSun" w:hAnsi="Times New Roman"/>
          <w:b/>
          <w:bCs/>
          <w:sz w:val="24"/>
          <w:szCs w:val="24"/>
        </w:rPr>
        <w:t xml:space="preserve">9.6 Model differences (RQ5)</w:t>
      </w:r>
    </w:p>
    <w:p>
      <w:pPr>
        <w:spacing w:after="120" w:line="276" w:lineRule="auto"/>
        <w:ind w:firstLine="567"/>
        <w:jc w:val="both"/>
      </w:pPr>
      <w:r>
        <w:rPr>
          <w:rFonts w:ascii="Times New Roman" w:cs="Times New Roman" w:eastAsia="SimSun" w:hAnsi="Times New Roman"/>
        </w:rPr>
        <w:t xml:space="preserve">Under BASE the models behaved much alike: their breach rates did not differ (Cochran's Q = 2.46, p = 0.29), and their equity levels differed only slightly (Friedman test, Kendall's W = 0.045), with Kimi recommending 3.3-4.1 points less equity than the others. Under SUIT they diverged: Kimi's breach rate of 25.0% compares with 40.7-42.0% for the others (Q = 45.2, p &lt; 0.001), and equity differences grew (W = 0.084; T14).</w:t>
      </w:r>
    </w:p>
    <w:p>
      <w:pPr>
        <w:pStyle w:val="Heading2"/>
        <w:keepNext/>
        <w:spacing w:after="120" w:before="200" w:line="276" w:lineRule="auto"/>
      </w:pPr>
      <w:r>
        <w:rPr>
          <w:rFonts w:ascii="Times New Roman" w:cs="Times New Roman" w:eastAsia="SimSun" w:hAnsi="Times New Roman"/>
          <w:b/>
          <w:bCs/>
          <w:sz w:val="24"/>
          <w:szCs w:val="24"/>
        </w:rPr>
        <w:t xml:space="preserve">9.7 Historical check and performance</w:t>
      </w:r>
    </w:p>
    <w:p>
      <w:pPr>
        <w:spacing w:after="120" w:line="276" w:lineRule="auto"/>
        <w:ind w:firstLine="567"/>
        <w:jc w:val="both"/>
      </w:pPr>
      <w:r>
        <w:rPr>
          <w:rFonts w:ascii="Times New Roman" w:cs="Times New Roman" w:eastAsia="SimSun" w:hAnsi="Times New Roman"/>
        </w:rPr>
        <w:t xml:space="preserve">Over the common 59-month window, November 2021 to September 2026, the median worst 12-month return was positive for C1 and C2 recommendations, slightly negative for C3, and -10.5% to -18.7% for C4 and C5 (T24, Figure 9). Only four main-sample portfolios lost more in a year than the investor accepted: two DeepSeek C3 recommendations per condition, with worst years down to -18.8% against a 15% limit. The period explains this. The menu's money market and bond funds never had a negative 12-month return and the enhanced-return bond fund lost at most 1.1%, so the rating breaches of C1-C2 investors, which consisted mostly of such funds, caused no such losses.</w:t>
      </w:r>
    </w:p>
    <w:p>
      <w:pPr>
        <w:keepNext/>
        <w:spacing w:after="0" w:before="200" w:line="276" w:lineRule="auto"/>
        <w:jc w:val="left"/>
      </w:pPr>
      <w:r>
        <w:rPr>
          <w:rFonts w:ascii="Times New Roman" w:cs="Times New Roman" w:eastAsia="SimSun" w:hAnsi="Times New Roman"/>
          <w:b/>
          <w:bCs/>
        </w:rPr>
        <w:t xml:space="preserve">Figure 9</w:t>
      </w:r>
    </w:p>
    <w:p>
      <w:pPr>
        <w:keepNext/>
        <w:spacing w:after="80" w:before="0" w:line="276" w:lineRule="auto"/>
        <w:jc w:val="left"/>
      </w:pPr>
      <w:r>
        <w:rPr>
          <w:rFonts w:ascii="Times New Roman" w:cs="Times New Roman" w:eastAsia="SimSun" w:hAnsi="Times New Roman"/>
          <w:i/>
          <w:iCs/>
        </w:rPr>
        <w:t xml:space="preserve">Worst historical 12-month return against the investor's stated loss limit</w:t>
      </w:r>
    </w:p>
    <w:p>
      <w:pPr>
        <w:keepNext/>
        <w:spacing w:after="60" w:before="60" w:line="240" w:lineRule="auto"/>
        <w:jc w:val="center"/>
      </w:pPr>
      <w:r>
        <w:drawing>
          <wp:inline distT="0" distB="0" distL="0" distR="0">
            <wp:extent cx="5715000" cy="4067175"/>
            <wp:effectExtent t="0" r="0" b="0" l="0"/>
            <wp:docPr id="1" name="Figure 9. Worst historical 12-month return against the investor's stated loss limit" descr="Figure 9. Worst historical 12-month return against the investor's stated loss limit" title="Figure 9. Worst historical 12-month return against the investor's stated loss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67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maximum one-year loss the investor accepts.</w:t>
      </w:r>
    </w:p>
    <w:p>
      <w:pPr>
        <w:spacing w:after="120" w:line="276" w:lineRule="auto"/>
        <w:ind w:firstLine="567"/>
        <w:jc w:val="both"/>
      </w:pPr>
      <w:r>
        <w:rPr>
          <w:rFonts w:ascii="Times New Roman" w:cs="Times New Roman" w:eastAsia="SimSun" w:hAnsi="Times New Roman"/>
        </w:rPr>
        <w:t xml:space="preserve">Table 12 adds risk-adjusted measures. Equities were weak in the window (the CSI 300 feeder returned 0.06% a year), so the 60/40 mix earned 1.67%. Most AI portfolios for C2-C5 beat it on the Sharpe ratio; for C4-C5 about three in four also beat the domestic-only model portfolio, helped by QDII funds (Figure 10). For C2-C3 the compliant model portfolio usually did better, and C1 portfolios with a non-permitted fund returned 2.09% a year against 1.48% for R1-only ones (T32). Fees cost at most 0.29 points a year (T30).</w:t>
      </w:r>
    </w:p>
    <w:p>
      <w:pPr>
        <w:keepNext/>
        <w:spacing w:after="0" w:before="200" w:line="276" w:lineRule="auto"/>
        <w:jc w:val="left"/>
      </w:pPr>
      <w:r>
        <w:rPr>
          <w:rFonts w:ascii="Times New Roman" w:cs="Times New Roman" w:eastAsia="SimSun" w:hAnsi="Times New Roman"/>
          <w:b/>
          <w:bCs/>
        </w:rPr>
        <w:t xml:space="preserve">Table 12</w:t>
      </w:r>
    </w:p>
    <w:p>
      <w:pPr>
        <w:keepNext/>
        <w:spacing w:after="80" w:before="0" w:line="276" w:lineRule="auto"/>
        <w:jc w:val="left"/>
      </w:pPr>
      <w:r>
        <w:rPr>
          <w:rFonts w:ascii="Times New Roman" w:cs="Times New Roman" w:eastAsia="SimSun" w:hAnsi="Times New Roman"/>
          <w:i/>
          <w:iCs/>
        </w:rPr>
        <w:t xml:space="preserve">Historical performance against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9"/>
        <w:gridCol w:w="843"/>
        <w:gridCol w:w="1240"/>
        <w:gridCol w:w="843"/>
        <w:gridCol w:w="1041"/>
        <w:gridCol w:w="843"/>
        <w:gridCol w:w="843"/>
        <w:gridCol w:w="2034"/>
      </w:tblGrid>
      <w:tr>
        <w:trPr>
          <w:tblHeader/>
        </w:trPr>
        <w:tc>
          <w:tcPr>
            <w:tcW w:type="dxa" w:w="133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Portfolio</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Return (% p.a.)</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Volatility (% p.a.)</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w:t>
            </w:r>
          </w:p>
        </w:tc>
        <w:tc>
          <w:tcPr>
            <w:tcW w:type="dxa" w:w="10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Max drawdown (%)</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Calmar</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Worst 12 months (%)</w:t>
            </w:r>
          </w:p>
        </w:tc>
        <w:tc>
          <w:tcPr>
            <w:tcW w:type="dxa" w:w="20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 beats 60/40/target/model (%)</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2.81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1.69</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99/98/35</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3.44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97/92/28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3.31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0.36</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-13.86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-12.16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81/65/78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0.25</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-19.58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-18.06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74/53/76</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60/40 mix</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10.38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-14.62</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Target-risk</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9.48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0.22</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-15.21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-10.58</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2.53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1.93</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1.37</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3.25</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1.47</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3.53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8.62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-11.70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1.12</w:t>
            </w: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13.03</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0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-22.06</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-18.89</w:t>
            </w:r>
          </w:p>
        </w:tc>
        <w:tc>
          <w:tcPr>
            <w:tcW w:type="dxa" w:w="20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T33; AI medians over models and conditions, net of ongoing fees. Sharpe in excess of 000198; n.m.: volatility or drawdown below 0.5%. 60/40: 60% 110020, 40% 000015. Rating-compliant model portfolios: C2 40% 000198, 60% 000015; C3 20% 000198, 50% 000015, 30% 001316; C4/C5 50%/75% 110020, rest 000015.</w:t>
      </w:r>
    </w:p>
    <w:p>
      <w:pPr>
        <w:keepNext/>
        <w:spacing w:after="0" w:before="200" w:line="276" w:lineRule="auto"/>
        <w:jc w:val="left"/>
      </w:pPr>
      <w:r>
        <w:rPr>
          <w:rFonts w:ascii="Times New Roman" w:cs="Times New Roman" w:eastAsia="SimSun" w:hAnsi="Times New Roman"/>
          <w:b/>
          <w:bCs/>
        </w:rPr>
        <w:t xml:space="preserve">Figure 10</w:t>
      </w:r>
    </w:p>
    <w:p>
      <w:pPr>
        <w:keepNext/>
        <w:spacing w:after="80" w:before="0" w:line="276" w:lineRule="auto"/>
        <w:jc w:val="left"/>
      </w:pPr>
      <w:r>
        <w:rPr>
          <w:rFonts w:ascii="Times New Roman" w:cs="Times New Roman" w:eastAsia="SimSun" w:hAnsi="Times New Roman"/>
          <w:i/>
          <w:iCs/>
        </w:rPr>
        <w:t xml:space="preserve">Growth of 100 invested: average AI portfolio and benchmarks, by risk class</w:t>
      </w:r>
    </w:p>
    <w:p>
      <w:pPr>
        <w:keepNext/>
        <w:spacing w:after="60" w:before="60" w:line="240" w:lineRule="auto"/>
        <w:jc w:val="center"/>
      </w:pPr>
      <w:r>
        <w:drawing>
          <wp:inline distT="0" distB="0" distL="0" distR="0">
            <wp:extent cx="5715000" cy="2352675"/>
            <wp:effectExtent t="0" r="0" b="0" l="0"/>
            <wp:docPr id="1" name="Figure 10. Growth of 100 invested: average AI portfolio and benchmarks, by risk class" descr="Figure 10. Growth of 100 invested: average AI portfolio and benchmarks, by risk class" title="Figure 10. Growth of 100 invested: average AI portfolio and benchmarks,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526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9.8 Robustness</w:t>
      </w:r>
    </w:p>
    <w:p>
      <w:pPr>
        <w:spacing w:after="120" w:line="276" w:lineRule="auto"/>
        <w:ind w:firstLine="567"/>
        <w:jc w:val="both"/>
      </w:pPr>
      <w:r>
        <w:rPr>
          <w:rFonts w:ascii="Times New Roman" w:cs="Times New Roman" w:eastAsia="SimSun" w:hAnsi="Times New Roman"/>
        </w:rPr>
        <w:t xml:space="preserve">Excluding replies with off-menu funds, invalid weight sums or repaired parses changes the correlations by at most 0.003 and the breach rates by at most 0.3 points, and counting a breach only when the breaching funds exceed 5% of the portfolio lowers the rates by at most 0.5 points (T20). Recomputing equity with category assumptions for every fund raises mean equity by 1.1-3.3 points and the share above the cap by 1.0-4.0 points, leaving the risk correlations at 0.66-0.81. Covariates leave the attribute and condition effects unchanged (T21).</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Style w:val="Heading2"/>
        <w:keepNext/>
        <w:spacing w:after="120" w:before="200" w:line="276" w:lineRule="auto"/>
      </w:pPr>
      <w:r>
        <w:rPr>
          <w:rFonts w:ascii="Times New Roman" w:cs="Times New Roman" w:eastAsia="SimSun" w:hAnsi="Times New Roman"/>
          <w:b/>
          <w:bCs/>
          <w:sz w:val="24"/>
          <w:szCs w:val="24"/>
        </w:rPr>
        <w:t xml:space="preserve">10.1 The hypotheses</w:t>
      </w:r>
    </w:p>
    <w:p>
      <w:pPr>
        <w:spacing w:after="120" w:line="276" w:lineRule="auto"/>
        <w:ind w:firstLine="567"/>
        <w:jc w:val="both"/>
      </w:pPr>
      <w:r>
        <w:rPr>
          <w:rFonts w:ascii="Times New Roman" w:cs="Times New Roman" w:eastAsia="SimSun" w:hAnsi="Times New Roman"/>
        </w:rPr>
        <w:t xml:space="preserve">Table 13 sets the results against the hypotheses fixed before the run. Five are supported, one only weakly, and one in part, because the menu contained no R5 fund.</w:t>
      </w:r>
    </w:p>
    <w:p>
      <w:pPr>
        <w:keepNext/>
        <w:spacing w:after="0" w:before="200" w:line="276" w:lineRule="auto"/>
        <w:jc w:val="left"/>
      </w:pPr>
      <w:r>
        <w:rPr>
          <w:rFonts w:ascii="Times New Roman" w:cs="Times New Roman" w:eastAsia="SimSun" w:hAnsi="Times New Roman"/>
          <w:b/>
          <w:bCs/>
        </w:rPr>
        <w:t xml:space="preserve">Table 13</w:t>
      </w:r>
    </w:p>
    <w:p>
      <w:pPr>
        <w:keepNext/>
        <w:spacing w:after="80" w:before="0" w:line="276" w:lineRule="auto"/>
        <w:jc w:val="left"/>
      </w:pPr>
      <w:r>
        <w:rPr>
          <w:rFonts w:ascii="Times New Roman" w:cs="Times New Roman" w:eastAsia="SimSun" w:hAnsi="Times New Roman"/>
          <w:i/>
          <w:iCs/>
        </w:rPr>
        <w:t xml:space="preserve">Hypotheses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0"/>
        <w:gridCol w:w="1970"/>
        <w:gridCol w:w="3846"/>
      </w:tblGrid>
      <w:tr>
        <w:trPr>
          <w:tblHeader/>
        </w:trPr>
        <w:tc>
          <w:tcPr>
            <w:tcW w:type="dxa" w:w="32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Hypothesis</w:t>
            </w:r>
          </w:p>
        </w:tc>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Verdict</w:t>
            </w:r>
          </w:p>
        </w:tc>
        <w:tc>
          <w:tcPr>
            <w:tcW w:type="dxa" w:w="38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Evidence</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 Risk rises with risk tolerance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0.69-0.83; +18.2 points per class; all probe anchors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 Risk rises with horizon</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0.33-0.50; +8.7 points per band; weak in probes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 Risk falls with age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Weak support</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cell significant; -1.2 points per band pooled (p = 0.009)</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 Risk tolerance dominates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Eta squared 0.51-0.70 vs 0.15-0.23</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 Protocol reduces rating breaches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-9.5 to -24.5 points; Holm p &lt; 0.001</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H6. Breaches concentrate in conflict profiles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Partly 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Over cap 50-66% vs 16-22%; rating test not possible</w:t>
            </w:r>
          </w:p>
        </w:tc>
      </w:tr>
      <w:tr>
        <w:trPr>
          <w:tblHeader w:val="false"/>
        </w:trPr>
        <w:tc>
          <w:tcPr>
            <w:tcW w:type="dxa" w:w="32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H7. Stable equity, varying fund choice</w:t>
            </w:r>
          </w:p>
        </w:tc>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0.95-0.98; Jaccard 0.59-0.70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BASE condition where relevant. Sources: Tables 8 to 11, Figure 8, T09, T10 and T17.</w:t>
      </w:r>
    </w:p>
    <w:p>
      <w:pPr>
        <w:pStyle w:val="Heading2"/>
        <w:keepNext/>
        <w:spacing w:after="120" w:before="200" w:line="276" w:lineRule="auto"/>
      </w:pPr>
      <w:r>
        <w:rPr>
          <w:rFonts w:ascii="Times New Roman" w:cs="Times New Roman" w:eastAsia="SimSun" w:hAnsi="Times New Roman"/>
          <w:b/>
          <w:bCs/>
          <w:sz w:val="24"/>
          <w:szCs w:val="24"/>
        </w:rPr>
        <w:t xml:space="preserve">10.2 Tailoring that rests on one attribute</w:t>
      </w:r>
    </w:p>
    <w:p>
      <w:pPr>
        <w:spacing w:after="120" w:line="276" w:lineRule="auto"/>
        <w:ind w:firstLine="567"/>
        <w:jc w:val="both"/>
      </w:pPr>
      <w:r>
        <w:rPr>
          <w:rFonts w:ascii="Times New Roman" w:cs="Times New Roman" w:eastAsia="SimSun" w:hAnsi="Times New Roman"/>
        </w:rPr>
        <w:t xml:space="preserve">All three models tailor, but mainly along one dimension: stated risk tolerance drives most of the variation, horizon acts largely as a switch between "money needed within a year" and everything else, and age barely registers. This matches the decision-tree description of GPT-4o by Ross and Lo (2026), extends it to three Chinese models, and is at odds with life-cycle theory, which expects an age gradient even at a fixed horizon (Bodie et al., 1992; Cocco et al., 2005). The probes suggest that the models respond to the overall story of a profile, such as saving for a purchase next year, more than to the stated number of years.</w:t>
      </w:r>
    </w:p>
    <w:p>
      <w:pPr>
        <w:pStyle w:val="Heading2"/>
        <w:keepNext/>
        <w:spacing w:after="120" w:before="200" w:line="276" w:lineRule="auto"/>
      </w:pPr>
      <w:r>
        <w:rPr>
          <w:rFonts w:ascii="Times New Roman" w:cs="Times New Roman" w:eastAsia="SimSun" w:hAnsi="Times New Roman"/>
          <w:b/>
          <w:bCs/>
          <w:sz w:val="24"/>
          <w:szCs w:val="24"/>
        </w:rPr>
        <w:t xml:space="preserve">10.3 The rating rule is visible but not followed</w:t>
      </w:r>
    </w:p>
    <w:p>
      <w:pPr>
        <w:spacing w:after="120" w:line="276" w:lineRule="auto"/>
        <w:ind w:firstLine="567"/>
        <w:jc w:val="both"/>
      </w:pPr>
      <w:r>
        <w:rPr>
          <w:rFonts w:ascii="Times New Roman" w:cs="Times New Roman" w:eastAsia="SimSun" w:hAnsi="Times New Roman"/>
        </w:rPr>
        <w:t xml:space="preserve">The most striking result is how often the models broke the matching rule although every rating was in the prompt. Their breaches follow an economic rather than a regulatory idea of caution: a very conservative investor typically received money market plus bond funds, a mix that lost nothing in the back-test but that the rule forbids for a C1 client. The models seem to read "conservative" as "low volatility", not as "within the rating ceiling". The protocol halved the breach rate for Kimi, but two-thirds or more of C1-C3 recommendations from DeepSeek and Doubao still breached the rule, often after correct classification. Knowing a rule and applying it are different steps, so a rule written into a prompt is not a control in the regulatory sense. Unlike classic sycophancy (Sharma et al., 2024), the models departed from the rule towards what they apparently judged to be good advice, not towards what the client asked for.</w:t>
      </w:r>
    </w:p>
    <w:p>
      <w:pPr>
        <w:pStyle w:val="Heading2"/>
        <w:keepNext/>
        <w:spacing w:after="120" w:before="200" w:line="276" w:lineRule="auto"/>
      </w:pPr>
      <w:r>
        <w:rPr>
          <w:rFonts w:ascii="Times New Roman" w:cs="Times New Roman" w:eastAsia="SimSun" w:hAnsi="Times New Roman"/>
          <w:b/>
          <w:bCs/>
          <w:sz w:val="24"/>
          <w:szCs w:val="24"/>
        </w:rPr>
        <w:t xml:space="preserve">10.4 Aggressive clients with short horizons</w:t>
      </w:r>
    </w:p>
    <w:p>
      <w:pPr>
        <w:spacing w:after="120" w:line="276" w:lineRule="auto"/>
        <w:ind w:firstLine="567"/>
        <w:jc w:val="both"/>
      </w:pPr>
      <w:r>
        <w:rPr>
          <w:rFonts w:ascii="Times New Roman" w:cs="Times New Roman" w:eastAsia="SimSun" w:hAnsi="Times New Roman"/>
        </w:rPr>
        <w:t xml:space="preserve">Under the baseline prompt a C5 investor who needed the money in one to three years received about three-quarters equity, more than twice the horizon cap: as H6 anticipated, the stated appetite for risk won. The protocol helped most here, raising conflict acknowledgement to 81-100% and cutting equity substantially, while leaving aggressive long-horizon investors largely untouched in two of the three models; it targets the conflict rather than making all advice more conservative.</w:t>
      </w:r>
    </w:p>
    <w:p>
      <w:pPr>
        <w:pStyle w:val="Heading2"/>
        <w:keepNext/>
        <w:spacing w:after="120" w:before="200" w:line="276" w:lineRule="auto"/>
      </w:pPr>
      <w:r>
        <w:rPr>
          <w:rFonts w:ascii="Times New Roman" w:cs="Times New Roman" w:eastAsia="SimSun" w:hAnsi="Times New Roman"/>
          <w:b/>
          <w:bCs/>
          <w:sz w:val="24"/>
          <w:szCs w:val="24"/>
        </w:rPr>
        <w:t xml:space="preserve">10.5 Reliability, model differences and the back-test</w:t>
      </w:r>
    </w:p>
    <w:p>
      <w:pPr>
        <w:spacing w:after="120" w:line="276" w:lineRule="auto"/>
        <w:ind w:firstLine="567"/>
        <w:jc w:val="both"/>
      </w:pPr>
      <w:r>
        <w:rPr>
          <w:rFonts w:ascii="Times New Roman" w:cs="Times New Roman" w:eastAsia="SimSun" w:hAnsi="Times New Roman"/>
        </w:rPr>
        <w:t xml:space="preserve">Equity levels were repeatable but fund choices were not, and the breach verdict changed between replicates for up to 17.5% of investors, so an audit based on one query per client would misclassify a noticeable share of cases (Atil et al., 2024; Barbieri et al., 2026). The models were close under the baseline prompt and differed mainly in how strongly they responded to the protocol, so model differences lie less in default risk-taking than in instruction-following. Finally, the rarity of loss-tolerance breaches does not show that rating breaches are harmless: the window was benign for Chinese bond and money market funds, and in a period of rising rates or credit stress the same breaches could cause losses for investors who accept none.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spacing w:after="120" w:line="276" w:lineRule="auto"/>
        <w:ind w:firstLine="567"/>
        <w:jc w:val="both"/>
      </w:pPr>
      <w:r>
        <w:rPr>
          <w:rFonts w:ascii="Times New Roman" w:cs="Times New Roman" w:eastAsia="SimSun" w:hAnsi="Times New Roman"/>
          <w:b/>
          <w:bCs/>
        </w:rPr>
        <w:t xml:space="preserve">Platforms.</w:t>
      </w:r>
      <w:r>
        <w:rPr>
          <w:rFonts w:ascii="Times New Roman" w:cs="Times New Roman" w:eastAsia="SimSun" w:hAnsi="Times New Roman"/>
        </w:rPr>
        <w:t xml:space="preserve"> Showing ratings to the model and adding a suitability protocol to its prompt do not keep advice within the matching rule. The rule should be enforced in code: the model should be offered only products at or below the client's ceiling, or every recommendation should be checked automatically before it is shown. The model's own classification, which matched the true class in 60-89% of cases, can be an input but not the control.</w:t>
      </w:r>
    </w:p>
    <w:p>
      <w:pPr>
        <w:spacing w:after="120" w:line="276" w:lineRule="auto"/>
        <w:ind w:firstLine="567"/>
        <w:jc w:val="both"/>
      </w:pPr>
      <w:r>
        <w:rPr>
          <w:rFonts w:ascii="Times New Roman" w:cs="Times New Roman" w:eastAsia="SimSun" w:hAnsi="Times New Roman"/>
          <w:b/>
          <w:bCs/>
        </w:rPr>
        <w:t xml:space="preserve">Prompt design.</w:t>
      </w:r>
      <w:r>
        <w:rPr>
          <w:rFonts w:ascii="Times New Roman" w:cs="Times New Roman" w:eastAsia="SimSun" w:hAnsi="Times New Roman"/>
        </w:rPr>
        <w:t xml:space="preserve"> A suitability protocol is cheap and worthwhile: it cut breaches by up to half and made the models flag 81-100% of risk-horizon conflicts. Its effect differs strongly between models, so it must be tested on the model actually deployed.</w:t>
      </w:r>
    </w:p>
    <w:p>
      <w:pPr>
        <w:spacing w:after="120" w:line="276" w:lineRule="auto"/>
        <w:ind w:firstLine="567"/>
        <w:jc w:val="both"/>
      </w:pPr>
      <w:r>
        <w:rPr>
          <w:rFonts w:ascii="Times New Roman" w:cs="Times New Roman" w:eastAsia="SimSun" w:hAnsi="Times New Roman"/>
          <w:b/>
          <w:bCs/>
        </w:rPr>
        <w:t xml:space="preserve">Supervisors and auditors.</w:t>
      </w:r>
      <w:r>
        <w:rPr>
          <w:rFonts w:ascii="Times New Roman" w:cs="Times New Roman" w:eastAsia="SimSun" w:hAnsi="Times New Roman"/>
        </w:rPr>
        <w:t xml:space="preserve"> Audits should use repeated queries per profile, and back-tests over one benign window should be complemented by stress scenarios.</w:t>
      </w:r>
    </w:p>
    <w:p>
      <w:pPr>
        <w:spacing w:after="120" w:line="276" w:lineRule="auto"/>
        <w:ind w:firstLine="567"/>
        <w:jc w:val="both"/>
      </w:pPr>
      <w:r>
        <w:rPr>
          <w:rFonts w:ascii="Times New Roman" w:cs="Times New Roman" w:eastAsia="SimSun" w:hAnsi="Times New Roman"/>
          <w:b/>
          <w:bCs/>
        </w:rPr>
        <w:t xml:space="preserve">Investors and developers.</w:t>
      </w:r>
      <w:r>
        <w:rPr>
          <w:rFonts w:ascii="Times New Roman" w:cs="Times New Roman" w:eastAsia="SimSun" w:hAnsi="Times New Roman"/>
        </w:rPr>
        <w:t xml:space="preserve"> The models respond strongly to stated risk attitude and weakly to age and horizon, so users should state their horizon and liquidity needs explicitly and be wary of high-equity portfolios offered for short horizons. For developers, the gap between classifying a client correctly and recommending within that class is a measurable benchmark of constraint-following.</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delivered in one message, whereas real clients are vaguer and converse. This is close to a best case for tailoring, so the failures observed here probably understate those in practice.</w:t>
      </w:r>
    </w:p>
    <w:p>
      <w:pPr>
        <w:spacing w:after="120" w:line="276" w:lineRule="auto"/>
        <w:ind w:firstLine="567"/>
        <w:jc w:val="both"/>
      </w:pPr>
      <w:r>
        <w:rPr>
          <w:rFonts w:ascii="Times New Roman" w:cs="Times New Roman" w:eastAsia="SimSun" w:hAnsi="Times New Roman"/>
          <w:b/>
          <w:bCs/>
        </w:rPr>
        <w:t xml:space="preserve">One menu, one date, one window.</w:t>
      </w:r>
      <w:r>
        <w:rPr>
          <w:rFonts w:ascii="Times New Roman" w:cs="Times New Roman" w:eastAsia="SimSun" w:hAnsi="Times New Roman"/>
        </w:rPr>
        <w:t xml:space="preserve"> The menu is a single 23-fund shelf with ratings from one distributor on one date, and other distributors may rate the same funds differently. It contains no R5 fund, so the rating test is informative only for C1-C3 investors and H6 could be tested only with the equity caps. The back-test covers one 59-month window in which the bond and money market funds never lost more than 1.1% over twelve months, so the rarity of loss-tolerance breaches is partly a property of the period.</w:t>
      </w:r>
    </w:p>
    <w:p>
      <w:pPr>
        <w:spacing w:after="120" w:line="276" w:lineRule="auto"/>
        <w:ind w:firstLine="567"/>
        <w:jc w:val="both"/>
      </w:pPr>
      <w:r>
        <w:rPr>
          <w:rFonts w:ascii="Times New Roman" w:cs="Times New Roman" w:eastAsia="SimSun" w:hAnsi="Times New Roman"/>
          <w:b/>
          <w:bCs/>
        </w:rPr>
        <w:t xml:space="preserve">Models and access.</w:t>
      </w:r>
      <w:r>
        <w:rPr>
          <w:rFonts w:ascii="Times New Roman" w:cs="Times New Roman" w:eastAsia="SimSun" w:hAnsi="Times New Roman"/>
        </w:rPr>
        <w:t xml:space="preserve"> Hosted models change without notice and sample stochastically, so a later rerun may differ (Atil et al., 2024). The models were reached through OpenRouter rather than the course's Ark route, DeepSeek through a third-party provider and all with reasoning disabled, so the results describe the direct-answer behaviour of these deployments.</w:t>
      </w:r>
    </w:p>
    <w:p>
      <w:pPr>
        <w:spacing w:after="120" w:line="276" w:lineRule="auto"/>
        <w:ind w:firstLine="567"/>
        <w:jc w:val="both"/>
      </w:pPr>
      <w:r>
        <w:rPr>
          <w:rFonts w:ascii="Times New Roman" w:cs="Times New Roman" w:eastAsia="SimSun" w:hAnsi="Times New Roman"/>
          <w:b/>
          <w:bCs/>
        </w:rPr>
        <w:t xml:space="preserve">Prompts and benchmarks.</w:t>
      </w:r>
      <w:r>
        <w:rPr>
          <w:rFonts w:ascii="Times New Roman" w:cs="Times New Roman" w:eastAsia="SimSun" w:hAnsi="Times New Roman"/>
        </w:rPr>
        <w:t xml:space="preserve"> Each condition uses one wording and one menu order, so the protocol effect is that of this particular protocol (Sclar et al., 2024). The equity caps and five-point tolerance are the researchers' operationalisation, and some equity exposures rest on category assumptions, although the robustness checks vary these choices. The model portfolios are a stylised robo-adviser ladder, not a commercial record.</w:t>
      </w:r>
    </w:p>
    <w:p>
      <w:pPr>
        <w:spacing w:after="120" w:line="276" w:lineRule="auto"/>
        <w:ind w:firstLine="567"/>
        <w:jc w:val="both"/>
      </w:pPr>
      <w:r>
        <w:rPr>
          <w:rFonts w:ascii="Times New Roman" w:cs="Times New Roman" w:eastAsia="SimSun" w:hAnsi="Times New Roman"/>
          <w:b/>
          <w:bCs/>
        </w:rPr>
        <w:t xml:space="preserve">Coding and scope.</w:t>
      </w:r>
      <w:r>
        <w:rPr>
          <w:rFonts w:ascii="Times New Roman" w:cs="Times New Roman" w:eastAsia="SimSun" w:hAnsi="Times New Roman"/>
        </w:rPr>
        <w:t xml:space="preserve"> Conflict acknowledgement, the one judgement-based measure, was double-coded for all 1,199 main-sample replies (kappa 0.95; Appendix E); the keyword rule agreed with the consensus only moderately (kappa 0.43). Gender, region, taxes and platform availability are outside the scope of the study.</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spacing w:after="120" w:line="276" w:lineRule="auto"/>
        <w:ind w:firstLine="567"/>
        <w:jc w:val="both"/>
      </w:pPr>
      <w:r>
        <w:rPr>
          <w:rFonts w:ascii="Times New Roman" w:cs="Times New Roman" w:eastAsia="SimSun" w:hAnsi="Times New Roman"/>
        </w:rPr>
        <w:t xml:space="preserve">This study audited how three Chinese LLMs recommend public mutual funds to 200 synthetic investors whose age, risk tolerance and horizon were varied independently, with and without a suitability protocol in the prompt. Almost all 2,508 replies were executable portfolios drawn from the given menu. The models tailored their advice mainly to stated risk tolerance; horizon mattered mostly when the money was needed within a year, and age hardly at all. Under the baseline prompt, more than four in five recommendations to C1-C3 investors broke the product-risk matching rule although the ratings were in the prompt, and aggressive investors with short horizons received far more equity than their horizon justified. The suitability protocol reduced both problems in every model, most strongly for Kimi, but most C1-C3 investors advised by DeepSeek and Doubao still received a product above their ceiling, often after correct classification. Equity levels were stable across repeated queries while fund choices were not.</w:t>
      </w:r>
    </w:p>
    <w:p>
      <w:pPr>
        <w:spacing w:after="120" w:line="276" w:lineRule="auto"/>
        <w:ind w:firstLine="567"/>
        <w:jc w:val="both"/>
      </w:pPr>
      <w:r>
        <w:rPr>
          <w:rFonts w:ascii="Times New Roman" w:cs="Times New Roman" w:eastAsia="SimSun" w:hAnsi="Times New Roman"/>
        </w:rPr>
        <w:t xml:space="preserve">A general-purpose LLM can produce sensible-looking, diversified portfolios but cannot be relied on to apply a regulatory rule it has been told about. Suitability constraints belong in the system around the model, not only in its prompt. Future work should test conversational profiles, menus with R5 products, reasoning modes and stress-period back-tests.</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key facts statements and periodic reports indexed by 10jqka.com.cn, howbuy.com, lixinger.com, cfi.cn and finance.sina.com.cn (retrieved 22 October 2026; URLs in `data/fund_menu_candidates.csv`). Product risk ratings and reported stock shares: Eastmoney / Tiantian Fund (fundmobapi.eastmoney.com and fund.eastmoney.com, retrieved 23 October 2026; `data/fund_menu_verification.csv`). Adjusted NAV history: course data service, Tonghuashun financial data API (https://fuyao.aicubes.cn/docs/api-reference/overview/; `data/nav/_manifest.csv`).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The text below is exactly what the models receive after the words "Here is my situation:" for a deliberate conflict case, a very aggressive student who needs the money within a year. Risk class codes are never shown to the models.</w:t>
      </w: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Version PRB-03-RISK-C1 differs from its anchor PRB-03 only in the risk-tolerance line, shown below.</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spacing w:after="120" w:line="276" w:lineRule="auto"/>
        <w:ind w:firstLine="567"/>
        <w:jc w:val="both"/>
      </w:pPr>
      <w:r>
        <w:rPr>
          <w:rFonts w:ascii="Times New Roman" w:cs="Times New Roman" w:eastAsia="SimSun" w:hAnsi="Times New Roman"/>
        </w:rPr>
        <w:t xml:space="preserve">Table B1 lists the 16 checks applied to the two synthetic samples; all pass.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5"/>
        <w:gridCol w:w="6600"/>
        <w:gridCol w:w="1531"/>
      </w:tblGrid>
      <w:tr>
        <w:trPr>
          <w:tblHeader/>
        </w:trPr>
        <w:tc>
          <w:tcPr>
            <w:tcW w:type="dxa" w:w="8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6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5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6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5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details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Eastmoney / Tiantian Fund (product risk ratings and reported asset allocation))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
        <w:gridCol w:w="2946"/>
        <w:gridCol w:w="2384"/>
        <w:gridCol w:w="924"/>
        <w:gridCol w:w="924"/>
        <w:gridCol w:w="924"/>
      </w:tblGrid>
      <w:tr>
        <w:trPr>
          <w:tblHeader/>
        </w:trPr>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9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23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12.1</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15.8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78.8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91.7</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86.4</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94.8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9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23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sources, managers and inception dates in data/fund_menu_candidates.csv. Ratings: Eastmoney, 23 October 2026. Equity (%): category assumption, used for index feeders, the FOF and gold; otherwise the reported stock share at 30 June 2026 is used (data/fund_menu.csv).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spacing w:after="120" w:line="276" w:lineRule="auto"/>
        <w:ind w:firstLine="567"/>
        <w:jc w:val="both"/>
      </w:pPr>
      <w:r>
        <w:rPr>
          <w:rFonts w:ascii="Times New Roman" w:cs="Times New Roman" w:eastAsia="SimSun" w:hAnsi="Times New Roman"/>
        </w:rPr>
        <w:t xml:space="preserve">Table 6 summarises the coded measures; docs/coding_sheet.md defines every field. Replies that cannot be parsed stay in the data without portfolio measures. Off-menu codes are excluded from the risk measures and the remaining weights rescaled to 100. Conflict acknowledgement, the only judgement-based measure, was coded for every main-sample reply by two independent coding passes, blind to each other, to model and condition and to the keyword rule; disagreements were resolved against the written decision rules (docs/coding_sheet.md). Both passes and the adjudication were run with an AI assistant (Appendix H).</w:t>
      </w:r>
    </w:p>
    <w:p>
      <w:pPr>
        <w:keepNext/>
        <w:spacing w:after="0" w:before="200" w:line="276" w:lineRule="auto"/>
        <w:jc w:val="left"/>
      </w:pPr>
      <w:r>
        <w:rPr>
          <w:rFonts w:ascii="Times New Roman" w:cs="Times New Roman" w:eastAsia="SimSun" w:hAnsi="Times New Roman"/>
          <w:b/>
          <w:bCs/>
        </w:rPr>
        <w:t xml:space="preserve">Table E1</w:t>
      </w:r>
    </w:p>
    <w:p>
      <w:pPr>
        <w:keepNext/>
        <w:spacing w:after="80" w:before="0" w:line="276" w:lineRule="auto"/>
        <w:jc w:val="left"/>
      </w:pPr>
      <w:r>
        <w:rPr>
          <w:rFonts w:ascii="Times New Roman" w:cs="Times New Roman" w:eastAsia="SimSun" w:hAnsi="Times New Roman"/>
          <w:i/>
          <w:iCs/>
        </w:rPr>
        <w:t xml:space="preserve">Double coding of the conflict measure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4"/>
        <w:gridCol w:w="5152"/>
      </w:tblGrid>
      <w:tr>
        <w:trPr>
          <w:tblHeader/>
        </w:trPr>
        <w:tc>
          <w:tcPr>
            <w:tcW w:type="dxa" w:w="38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Measure</w:t>
            </w:r>
          </w:p>
        </w:tc>
        <w:tc>
          <w:tcPr>
            <w:tcW w:type="dxa" w:w="51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Value</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Replies coded</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1,199</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Agreement between coders</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97.8% (Cohen's kappa 0.95)</w:t>
            </w:r>
          </w:p>
        </w:tc>
      </w:tr>
      <w:tr>
        <w:trPr>
          <w:tblHeader w:val="false"/>
        </w:trPr>
        <w:tc>
          <w:tcPr>
            <w:tcW w:type="dxa" w:w="38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Disagreements resolved</w:t>
            </w:r>
          </w:p>
        </w:tc>
        <w:tc>
          <w:tcPr>
            <w:tcW w:type="dxa" w:w="5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26</w:t>
            </w:r>
          </w:p>
        </w:tc>
      </w:tr>
      <w:tr>
        <w:trPr>
          <w:tblHeader w:val="false"/>
        </w:trPr>
        <w:tc>
          <w:tcPr>
            <w:tcW w:type="dxa" w:w="38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Keyword rule vs consensus</w:t>
            </w:r>
          </w:p>
        </w:tc>
        <w:tc>
          <w:tcPr>
            <w:tcW w:type="dxa" w:w="51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accuracy 74.1%, sensitivity 58.2%, kappa 0.43</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T31; consensus rates by model and condition in T34.</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spacing w:after="120" w:line="276" w:lineRule="auto"/>
        <w:ind w:firstLine="567"/>
        <w:jc w:val="both"/>
      </w:pPr>
      <w:r>
        <w:rPr>
          <w:rFonts w:ascii="Times New Roman" w:cs="Times New Roman" w:eastAsia="SimSun" w:hAnsi="Times New Roman"/>
        </w:rPr>
        <w:t xml:space="preserve">Table F1 lists the runs recorded in outputs/logs.</w:t>
      </w:r>
    </w:p>
    <w:p>
      <w:pPr>
        <w:keepNext/>
        <w:spacing w:after="0" w:before="200" w:line="276" w:lineRule="auto"/>
        <w:jc w:val="left"/>
      </w:pPr>
      <w:r>
        <w:rPr>
          <w:rFonts w:ascii="Times New Roman" w:cs="Times New Roman" w:eastAsia="SimSun" w:hAnsi="Times New Roman"/>
          <w:b/>
          <w:bCs/>
        </w:rPr>
        <w:t xml:space="preserve">Table F1</w:t>
      </w:r>
    </w:p>
    <w:p>
      <w:pPr>
        <w:keepNext/>
        <w:spacing w:after="80" w:before="0" w:line="276" w:lineRule="auto"/>
        <w:jc w:val="left"/>
      </w:pPr>
      <w:r>
        <w:rPr>
          <w:rFonts w:ascii="Times New Roman" w:cs="Times New Roman" w:eastAsia="SimSun" w:hAnsi="Times New Roman"/>
          <w:i/>
          <w:iCs/>
        </w:rPr>
        <w:t xml:space="preserve">Experiment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2"/>
        <w:gridCol w:w="2678"/>
        <w:gridCol w:w="2678"/>
        <w:gridCol w:w="694"/>
        <w:gridCol w:w="794"/>
      </w:tblGrid>
      <w:tr>
        <w:trPr>
          <w:tblHeader/>
        </w:trPr>
        <w:tc>
          <w:tcPr>
            <w:tcW w:type="dxa" w:w="21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Run</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Started</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Finished</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ok</w:t>
            </w:r>
          </w:p>
        </w:tc>
        <w:tc>
          <w:tcPr>
            <w:tcW w:type="dxa" w:w="7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failed</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run_20261023T082144Z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2026-10-23T08:21:44+00:00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2026-10-23T08:27:35+00:00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run_20261023T082807Z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2026-10-23T08:28:07+00:00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2026-10-23T08:29:34+00:00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21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run_20261023T083039Z</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2026-10-23T08:30:39+00:00</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2026-10-23T10:16:40+00:00</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w:t>
            </w:r>
          </w:p>
        </w:tc>
        <w:tc>
          <w:tcPr>
            <w:tcW w:type="dxa" w:w="7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outputs/logs. The first two runs are the 60-call pilot: 20 Kimi calls failed with reasoning enabled and were retried after it was disabled. Model identifiers and serving providers are in Table 6; per-model calls and token usage are in docs/run_status.md.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Code, data and logs are in the project repository, and the Excel record book (outputs/record_book.xlsx) archives every profile, prompt and conversation; README.md lists the commands in order. The samples are regenerated exactly from seed 20261022. Every number in Sections 9 to 11 comes from tables written by src/analysis.py, src/performance.py and report/report_supplement.py from the raw logs; none is typed by hand. Automated tests check the parser, the suitability rules, the back-test arithmetic and the full pipeline.</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helped design the study, write and test the code, check literature and fund records, double-code the conflict measure, and draft text. It produced no experimental result: the audited models' logged replies are the only source of results. The group is responsible for all content (full statement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9111803b87304c75e828b60da7ea2d3b994a95b.png"/><Relationship Id="rId9" Type="http://schemas.openxmlformats.org/officeDocument/2006/relationships/image" Target="media/0069a2187f26b08f5f2200a49e5896cf82e90b94.png"/><Relationship Id="rId10" Type="http://schemas.openxmlformats.org/officeDocument/2006/relationships/image" Target="media/82f11de7772fb700dbeed13bf773f88f4d6d8e67.png"/><Relationship Id="rId11" Type="http://schemas.openxmlformats.org/officeDocument/2006/relationships/image" Target="media/91faa0a7c51ffb27d269fefa2ab93ca762de0dc8.png"/><Relationship Id="rId12" Type="http://schemas.openxmlformats.org/officeDocument/2006/relationships/image" Target="media/8555dc34267c21a835ad1d5b720627e478058521.png"/><Relationship Id="rId13" Type="http://schemas.openxmlformats.org/officeDocument/2006/relationships/image" Target="media/4af15f0c201a5cc712f4683f92ddc3e7ceb86610.png"/><Relationship Id="rId14" Type="http://schemas.openxmlformats.org/officeDocument/2006/relationships/image" Target="media/a7fbf3cf1a35b44c91709a6fa1c6bd64020f4db7.png"/><Relationship Id="rId15" Type="http://schemas.openxmlformats.org/officeDocument/2006/relationships/image" Target="media/9444f9f8df0e664a4cdb43520b309898d9246171.png"/><Relationship Id="rId16" Type="http://schemas.openxmlformats.org/officeDocument/2006/relationships/image" Target="media/822b4a3320432b4b8af2b5741285d5ed19782ac1.png"/><Relationship Id="rId17" Type="http://schemas.openxmlformats.org/officeDocument/2006/relationships/image" Target="media/0eb70b83f23bc50df83c34b22c8958266109a48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2026-10-24T10:21:42.273Z</dcterms:created>
  <dcterms:modified xsi:type="dcterms:W3CDTF">2026-10-24T10:21:42.275Z</dcterms:modified>
</cp:coreProperties>
</file>

<file path=docProps/custom.xml><?xml version="1.0" encoding="utf-8"?>
<Properties xmlns="http://schemas.openxmlformats.org/officeDocument/2006/custom-properties" xmlns:vt="http://schemas.openxmlformats.org/officeDocument/2006/docPropsVTypes"/>
</file>