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60" w:line="276" w:lineRule="auto"/>
        <w:jc w:val="center"/>
      </w:pPr>
      <w:r>
        <w:rPr>
          <w:rFonts w:ascii="Times New Roman" w:cs="Times New Roman" w:eastAsia="SimSun" w:hAnsi="Times New Roman"/>
          <w:b/>
          <w:bCs/>
          <w:sz w:val="32"/>
          <w:szCs w:val="32"/>
        </w:rPr>
        <w:t xml:space="preserve">Who Gets What? A Factorial Audit of How Large Language Models Tailor Mutual Fund Portfolios to Investor Age, Risk Tolerance and Investment Horizon</w:t>
      </w:r>
    </w:p>
    <w:p>
      <w:pPr>
        <w:spacing w:after="720" w:line="276" w:lineRule="auto"/>
        <w:jc w:val="center"/>
      </w:pPr>
      <w:r>
        <w:rPr>
          <w:rFonts w:ascii="Times New Roman" w:cs="Times New Roman" w:eastAsia="SimSun" w:hAnsi="Times New Roman"/>
          <w:sz w:val="26"/>
          <w:szCs w:val="26"/>
        </w:rPr>
        <w:t xml:space="preserve">Group Research Report - FinTech: Theory and Practice</w:t>
      </w:r>
    </w:p>
    <w:p>
      <w:pPr>
        <w:spacing w:after="160" w:line="276" w:lineRule="auto"/>
        <w:jc w:val="center"/>
      </w:pPr>
      <w:r>
        <w:rPr>
          <w:rFonts w:ascii="Times New Roman" w:cs="Times New Roman" w:eastAsia="SimSun" w:hAnsi="Times New Roman"/>
        </w:rPr>
        <w:t xml:space="preserve">Shenzhen MSU-BIT University</w:t>
      </w:r>
    </w:p>
    <w:p>
      <w:pPr>
        <w:spacing w:after="160" w:line="276" w:lineRule="auto"/>
        <w:jc w:val="center"/>
      </w:pPr>
      <w:r>
        <w:rPr>
          <w:rFonts w:ascii="Times New Roman" w:cs="Times New Roman" w:eastAsia="SimSun" w:hAnsi="Times New Roman"/>
        </w:rPr>
        <w:t xml:space="preserve">Group members: [names and student numbers to be completed by the group]</w:t>
      </w:r>
    </w:p>
    <w:p>
      <w:pPr>
        <w:spacing w:after="160" w:line="276" w:lineRule="auto"/>
        <w:jc w:val="center"/>
      </w:pPr>
      <w:r>
        <w:rPr>
          <w:rFonts w:ascii="Times New Roman" w:cs="Times New Roman" w:eastAsia="SimSun" w:hAnsi="Times New Roman"/>
        </w:rPr>
        <w:t xml:space="preserve">Date: [submission date]</w:t>
      </w:r>
    </w:p>
    <w:p>
      <w:pPr>
        <w:spacing w:after="160" w:line="276" w:lineRule="auto"/>
        <w:jc w:val="center"/>
      </w:pPr>
      <w:r>
        <w:rPr>
          <w:rFonts w:ascii="Times New Roman" w:cs="Times New Roman" w:eastAsia="SimSun" w:hAnsi="Times New Roman"/>
        </w:rPr>
        <w:t xml:space="preserve">Experiment run on 23 October 2026. Manual double coding of the conflict measure (Appendix E) is to be completed by the group.</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Abstract</w:t>
      </w:r>
    </w:p>
    <w:p>
      <w:pPr>
        <w:spacing w:after="120" w:line="276" w:lineRule="auto"/>
        <w:ind w:firstLine="567"/>
        <w:jc w:val="both"/>
      </w:pPr>
      <w:r>
        <w:rPr>
          <w:rFonts w:ascii="Times New Roman" w:cs="Times New Roman" w:eastAsia="SimSun" w:hAnsi="Times New Roman"/>
        </w:rPr>
        <w:t xml:space="preserve">Retail investors increasingly ask general-purpose chatbots for fund advice, but a chatbot carries none of the suitability duties of a licensed distributor. We audited three Chinese large language models (Doubao, DeepSeek and Kimi) on 200 synthetic investors forming a balanced 5 x 5 x 8 factorial of investment horizon, risk tolerance and age, so that the three attributes are uncorrelated. Every investor was advised by every model under a baseline adviser prompt and under the same prompt with a suitability protocol added, choosing from a menu of 23 verified Chinese funds whose risk ratings were shown. Recommendations were scored against the C1-C5/R1-R5 matching rule, a horizon-based equity cap, a lock-up constraint and the investor's stated loss limit over a 59-month back-test. Risk tolerance dominated the portfolios (partial eta squared 0.66-0.83), horizon came second (0.41-0.53) and age barely mattered (0.02-0.08). Under the baseline prompt, 83-86% of recommendations to C1-C3 investors contained a fund rated above the permitted level. The protocol cut rating breaches by 9.5-24.5 percentage points in every model, yet 42-70% of C1-C3 recommendations still breached the rule, often after the model had classified the investor correctly. Equity levels were highly repeatable (ICC 0.95-0.98) but fund choices were not (Jaccard similarity 0.59-0.70). Suitability rules should therefore be enforced outside the model, not only stated in its prompt.</w:t>
      </w:r>
    </w:p>
    <w:p>
      <w:pPr>
        <w:spacing w:after="120" w:line="276" w:lineRule="auto"/>
        <w:ind w:firstLine="567"/>
        <w:jc w:val="both"/>
      </w:pPr>
      <w:r>
        <w:rPr>
          <w:rFonts w:ascii="Times New Roman" w:cs="Times New Roman" w:eastAsia="SimSun" w:hAnsi="Times New Roman"/>
          <w:b/>
          <w:bCs/>
        </w:rPr>
        <w:t xml:space="preserve">Keywords:</w:t>
      </w:r>
      <w:r>
        <w:rPr>
          <w:rFonts w:ascii="Times New Roman" w:cs="Times New Roman" w:eastAsia="SimSun" w:hAnsi="Times New Roman"/>
        </w:rPr>
        <w:t xml:space="preserve"> generative AI; robo-advice; mutual funds; suitability; investor profiling; audit experiment; LLM evaluation</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1. Introduction</w:t>
      </w:r>
    </w:p>
    <w:p>
      <w:pPr>
        <w:spacing w:after="120" w:line="276" w:lineRule="auto"/>
        <w:ind w:firstLine="567"/>
        <w:jc w:val="both"/>
      </w:pPr>
      <w:r>
        <w:rPr>
          <w:rFonts w:ascii="Times New Roman" w:cs="Times New Roman" w:eastAsia="SimSun" w:hAnsi="Times New Roman"/>
        </w:rPr>
        <w:t xml:space="preserve">Retail investors no longer need a bank branch or a robo-adviser questionnaire to obtain a fund recommendation: a few sentences typed into a general-purpose chatbot return a named portfolio in seconds. Choukhmane et al. (2026) recruited about 1,000 US adults who wrote the prompts they would use to seek such advice, a sign of how ordinary the practice has become. The service is free, always available and fluent in the language of portfolio construction.</w:t>
      </w:r>
    </w:p>
    <w:p>
      <w:pPr>
        <w:spacing w:after="120" w:line="276" w:lineRule="auto"/>
        <w:ind w:firstLine="567"/>
        <w:jc w:val="both"/>
      </w:pPr>
      <w:r>
        <w:rPr>
          <w:rFonts w:ascii="Times New Roman" w:cs="Times New Roman" w:eastAsia="SimSun" w:hAnsi="Times New Roman"/>
        </w:rPr>
        <w:t xml:space="preserve">Fluency is not suitability. A licensed fund distributor in mainland China must assess a client's risk tolerance, horizon and goals, classify both client and product, and sell only products whose risk rating does not exceed the client's class (Asset Management Association of China [AMAC], 2017; China Securities Regulatory Commission [CSRC], 2020). A chatbot has no such duty unless its deployer builds one in. Whether general-purpose models nonetheless behave as if bound by suitability rules is an empirical question that an audit experiment can answer directly.</w:t>
      </w:r>
    </w:p>
    <w:p>
      <w:pPr>
        <w:spacing w:after="120" w:line="276" w:lineRule="auto"/>
        <w:ind w:firstLine="567"/>
        <w:jc w:val="both"/>
      </w:pPr>
      <w:r>
        <w:rPr>
          <w:rFonts w:ascii="Times New Roman" w:cs="Times New Roman" w:eastAsia="SimSun" w:hAnsi="Times New Roman"/>
        </w:rPr>
        <w:t xml:space="preserve">The evidence so far is mixed. Fieberg et al. (2025) found that 32 models adjusted risk exposure to investor traits, and Choukhmane et al. (2026) that LLM advice would move most respondents towards life-cycle prescriptions. Yet Ross and Lo (2026) describe GPT-4o as a decision tree keyed mainly on self-reported risk tolerance, and Foltyn and Olsson (2026) show that a single gendered word shifts recommended equity across 33 models.</w:t>
      </w:r>
    </w:p>
    <w:p>
      <w:pPr>
        <w:spacing w:after="120" w:line="276" w:lineRule="auto"/>
        <w:ind w:firstLine="567"/>
        <w:jc w:val="both"/>
      </w:pPr>
      <w:r>
        <w:rPr>
          <w:rFonts w:ascii="Times New Roman" w:cs="Times New Roman" w:eastAsia="SimSun" w:hAnsi="Times New Roman"/>
        </w:rPr>
        <w:t xml:space="preserve">This study addresses four gaps. It crosses horizon, risk tolerance and age orthogonally, so that the weight a model gives each attribute can be separated. It scores advice against an external regulatory rule using real product ratings rather than the researchers' idea of a good portfolio. It tests within the same investors whether a prompt-level suitability protocol makes a model behave more like a regulated adviser. And it back-tests every recommended portfolio against the loss the investor said they could bear.</w:t>
      </w:r>
    </w:p>
    <w:p>
      <w:pPr>
        <w:spacing w:after="120" w:line="276" w:lineRule="auto"/>
        <w:ind w:firstLine="567"/>
        <w:jc w:val="both"/>
      </w:pPr>
      <w:r>
        <w:rPr>
          <w:rFonts w:ascii="Times New Roman" w:cs="Times New Roman" w:eastAsia="SimSun" w:hAnsi="Times New Roman"/>
        </w:rPr>
        <w:t xml:space="preserve">Sections 2 and 3 set out the questions and the literature, Sections 4 to 8 the method, Sections 9 to 11 the results and their interpretation, and Sections 12 and 13 the limitations and conclusions.</w:t>
      </w:r>
    </w:p>
    <w:p>
      <w:pPr>
        <w:pStyle w:val="Heading1"/>
        <w:keepNext/>
        <w:spacing w:after="160" w:before="240" w:line="276" w:lineRule="auto"/>
        <w:jc w:val="center"/>
      </w:pPr>
      <w:r>
        <w:rPr>
          <w:rFonts w:ascii="Times New Roman" w:cs="Times New Roman" w:eastAsia="SimSun" w:hAnsi="Times New Roman"/>
          <w:b/>
          <w:bCs/>
          <w:sz w:val="24"/>
          <w:szCs w:val="24"/>
        </w:rPr>
        <w:t xml:space="preserve">2. Research Questions and Hypotheses</w:t>
      </w:r>
    </w:p>
    <w:p>
      <w:pPr>
        <w:spacing w:after="120" w:line="276" w:lineRule="auto"/>
        <w:ind w:firstLine="567"/>
        <w:jc w:val="both"/>
      </w:pPr>
      <w:r>
        <w:rPr>
          <w:rFonts w:ascii="Times New Roman" w:cs="Times New Roman" w:eastAsia="SimSun" w:hAnsi="Times New Roman"/>
          <w:b/>
          <w:bCs/>
        </w:rPr>
        <w:t xml:space="preserve">RQ1 (responsiveness).</w:t>
      </w:r>
      <w:r>
        <w:rPr>
          <w:rFonts w:ascii="Times New Roman" w:cs="Times New Roman" w:eastAsia="SimSun" w:hAnsi="Times New Roman"/>
        </w:rPr>
        <w:t xml:space="preserve"> How strongly do recommended portfolios vary with risk tolerance, investment horizon and age, and how much weight does each attribute carry?</w:t>
      </w:r>
    </w:p>
    <w:p>
      <w:pPr>
        <w:spacing w:after="120" w:line="276" w:lineRule="auto"/>
        <w:ind w:firstLine="567"/>
        <w:jc w:val="both"/>
      </w:pPr>
      <w:r>
        <w:rPr>
          <w:rFonts w:ascii="Times New Roman" w:cs="Times New Roman" w:eastAsia="SimSun" w:hAnsi="Times New Roman"/>
          <w:b/>
          <w:bCs/>
        </w:rPr>
        <w:t xml:space="preserve">RQ2 (suitability).</w:t>
      </w:r>
      <w:r>
        <w:rPr>
          <w:rFonts w:ascii="Times New Roman" w:cs="Times New Roman" w:eastAsia="SimSun" w:hAnsi="Times New Roman"/>
        </w:rPr>
        <w:t xml:space="preserve"> How often do recommendations breach the product-risk matching rule, horizon-based limits, holding-period constraints and the investor's stated loss tolerance?</w:t>
      </w:r>
    </w:p>
    <w:p>
      <w:pPr>
        <w:spacing w:after="120" w:line="276" w:lineRule="auto"/>
        <w:ind w:firstLine="567"/>
        <w:jc w:val="both"/>
      </w:pPr>
      <w:r>
        <w:rPr>
          <w:rFonts w:ascii="Times New Roman" w:cs="Times New Roman" w:eastAsia="SimSun" w:hAnsi="Times New Roman"/>
          <w:b/>
          <w:bCs/>
        </w:rPr>
        <w:t xml:space="preserve">RQ3 (prompt-level guardrail).</w:t>
      </w:r>
      <w:r>
        <w:rPr>
          <w:rFonts w:ascii="Times New Roman" w:cs="Times New Roman" w:eastAsia="SimSun" w:hAnsi="Times New Roman"/>
        </w:rPr>
        <w:t xml:space="preserve"> Does an explicit suitability protocol in the deployment prompt reduce breaches, and does it make advice more conservative than the profile warrants?</w:t>
      </w:r>
    </w:p>
    <w:p>
      <w:pPr>
        <w:spacing w:after="120" w:line="276" w:lineRule="auto"/>
        <w:ind w:firstLine="567"/>
        <w:jc w:val="both"/>
      </w:pPr>
      <w:r>
        <w:rPr>
          <w:rFonts w:ascii="Times New Roman" w:cs="Times New Roman" w:eastAsia="SimSun" w:hAnsi="Times New Roman"/>
          <w:b/>
          <w:bCs/>
        </w:rPr>
        <w:t xml:space="preserve">RQ4 (reliability).</w:t>
      </w:r>
      <w:r>
        <w:rPr>
          <w:rFonts w:ascii="Times New Roman" w:cs="Times New Roman" w:eastAsia="SimSun" w:hAnsi="Times New Roman"/>
        </w:rPr>
        <w:t xml:space="preserve"> How consistent are recommendations across repeated queries, and how do they change when a single attribute is altered?</w:t>
      </w:r>
    </w:p>
    <w:p>
      <w:pPr>
        <w:spacing w:after="120" w:line="276" w:lineRule="auto"/>
        <w:ind w:firstLine="567"/>
        <w:jc w:val="both"/>
      </w:pPr>
      <w:r>
        <w:rPr>
          <w:rFonts w:ascii="Times New Roman" w:cs="Times New Roman" w:eastAsia="SimSun" w:hAnsi="Times New Roman"/>
          <w:b/>
          <w:bCs/>
        </w:rPr>
        <w:t xml:space="preserve">RQ5 (model differences).</w:t>
      </w:r>
      <w:r>
        <w:rPr>
          <w:rFonts w:ascii="Times New Roman" w:cs="Times New Roman" w:eastAsia="SimSun" w:hAnsi="Times New Roman"/>
        </w:rPr>
        <w:t xml:space="preserve"> Do models from different developers differ on these dimensions?</w:t>
      </w:r>
    </w:p>
    <w:p>
      <w:pPr>
        <w:spacing w:after="120" w:line="276" w:lineRule="auto"/>
        <w:ind w:firstLine="567"/>
        <w:jc w:val="both"/>
      </w:pPr>
      <w:r>
        <w:rPr>
          <w:rFonts w:ascii="Times New Roman" w:cs="Times New Roman" w:eastAsia="SimSun" w:hAnsi="Times New Roman"/>
        </w:rPr>
        <w:t xml:space="preserve">The hypotheses were fixed before any model was queried.</w:t>
      </w:r>
    </w:p>
    <w:p>
      <w:pPr>
        <w:pStyle w:val="ListParagraph"/>
        <w:numPr>
          <w:ilvl w:val="0"/>
          <w:numId w:val="2"/>
        </w:numPr>
        <w:spacing w:after="80" w:line="276" w:lineRule="auto"/>
        <w:jc w:val="both"/>
      </w:pPr>
      <w:r>
        <w:rPr>
          <w:rFonts w:ascii="Times New Roman" w:cs="Times New Roman" w:eastAsia="SimSun" w:hAnsi="Times New Roman"/>
          <w:b/>
          <w:bCs/>
        </w:rPr>
        <w:t xml:space="preserve">H1.</w:t>
      </w:r>
      <w:r>
        <w:rPr>
          <w:rFonts w:ascii="Times New Roman" w:cs="Times New Roman" w:eastAsia="SimSun" w:hAnsi="Times New Roman"/>
        </w:rPr>
        <w:t xml:space="preserve"> Portfolio risk rises with risk tolerance in every model and condition.</w:t>
      </w:r>
    </w:p>
    <w:p>
      <w:pPr>
        <w:pStyle w:val="ListParagraph"/>
        <w:numPr>
          <w:ilvl w:val="0"/>
          <w:numId w:val="2"/>
        </w:numPr>
        <w:spacing w:after="80" w:line="276" w:lineRule="auto"/>
        <w:jc w:val="both"/>
      </w:pPr>
      <w:r>
        <w:rPr>
          <w:rFonts w:ascii="Times New Roman" w:cs="Times New Roman" w:eastAsia="SimSun" w:hAnsi="Times New Roman"/>
          <w:b/>
          <w:bCs/>
        </w:rPr>
        <w:t xml:space="preserve">H2.</w:t>
      </w:r>
      <w:r>
        <w:rPr>
          <w:rFonts w:ascii="Times New Roman" w:cs="Times New Roman" w:eastAsia="SimSun" w:hAnsi="Times New Roman"/>
        </w:rPr>
        <w:t xml:space="preserve"> Portfolio risk rises with investment horizon, other attributes held constant.</w:t>
      </w:r>
    </w:p>
    <w:p>
      <w:pPr>
        <w:pStyle w:val="ListParagraph"/>
        <w:numPr>
          <w:ilvl w:val="0"/>
          <w:numId w:val="2"/>
        </w:numPr>
        <w:spacing w:after="80" w:line="276" w:lineRule="auto"/>
        <w:jc w:val="both"/>
      </w:pPr>
      <w:r>
        <w:rPr>
          <w:rFonts w:ascii="Times New Roman" w:cs="Times New Roman" w:eastAsia="SimSun" w:hAnsi="Times New Roman"/>
          <w:b/>
          <w:bCs/>
        </w:rPr>
        <w:t xml:space="preserve">H3.</w:t>
      </w:r>
      <w:r>
        <w:rPr>
          <w:rFonts w:ascii="Times New Roman" w:cs="Times New Roman" w:eastAsia="SimSun" w:hAnsi="Times New Roman"/>
        </w:rPr>
        <w:t xml:space="preserve"> Portfolio risk falls with age, other attributes held constant, because a younger investor's future labour income acts like a bond holding (Bodie et al., 1992; Cocco et al., 2005).</w:t>
      </w:r>
    </w:p>
    <w:p>
      <w:pPr>
        <w:pStyle w:val="ListParagraph"/>
        <w:numPr>
          <w:ilvl w:val="0"/>
          <w:numId w:val="2"/>
        </w:numPr>
        <w:spacing w:after="80" w:line="276" w:lineRule="auto"/>
        <w:jc w:val="both"/>
      </w:pPr>
      <w:r>
        <w:rPr>
          <w:rFonts w:ascii="Times New Roman" w:cs="Times New Roman" w:eastAsia="SimSun" w:hAnsi="Times New Roman"/>
          <w:b/>
          <w:bCs/>
        </w:rPr>
        <w:t xml:space="preserve">H4 (heuristic dominance).</w:t>
      </w:r>
      <w:r>
        <w:rPr>
          <w:rFonts w:ascii="Times New Roman" w:cs="Times New Roman" w:eastAsia="SimSun" w:hAnsi="Times New Roman"/>
        </w:rPr>
        <w:t xml:space="preserve"> Risk tolerance explains more variance in equity exposure than horizon and age combined (Ross &amp; Lo, 2026).</w:t>
      </w:r>
    </w:p>
    <w:p>
      <w:pPr>
        <w:pStyle w:val="ListParagraph"/>
        <w:numPr>
          <w:ilvl w:val="0"/>
          <w:numId w:val="2"/>
        </w:numPr>
        <w:spacing w:after="80" w:line="276" w:lineRule="auto"/>
        <w:jc w:val="both"/>
      </w:pPr>
      <w:r>
        <w:rPr>
          <w:rFonts w:ascii="Times New Roman" w:cs="Times New Roman" w:eastAsia="SimSun" w:hAnsi="Times New Roman"/>
          <w:b/>
          <w:bCs/>
        </w:rPr>
        <w:t xml:space="preserve">H5.</w:t>
      </w:r>
      <w:r>
        <w:rPr>
          <w:rFonts w:ascii="Times New Roman" w:cs="Times New Roman" w:eastAsia="SimSun" w:hAnsi="Times New Roman"/>
        </w:rPr>
        <w:t xml:space="preserve"> The suitability protocol reduces product-risk breaches within each model.</w:t>
      </w:r>
    </w:p>
    <w:p>
      <w:pPr>
        <w:pStyle w:val="ListParagraph"/>
        <w:numPr>
          <w:ilvl w:val="0"/>
          <w:numId w:val="2"/>
        </w:numPr>
        <w:spacing w:after="80" w:line="276" w:lineRule="auto"/>
        <w:jc w:val="both"/>
      </w:pPr>
      <w:r>
        <w:rPr>
          <w:rFonts w:ascii="Times New Roman" w:cs="Times New Roman" w:eastAsia="SimSun" w:hAnsi="Times New Roman"/>
          <w:b/>
          <w:bCs/>
        </w:rPr>
        <w:t xml:space="preserve">H6.</w:t>
      </w:r>
      <w:r>
        <w:rPr>
          <w:rFonts w:ascii="Times New Roman" w:cs="Times New Roman" w:eastAsia="SimSun" w:hAnsi="Times New Roman"/>
        </w:rPr>
        <w:t xml:space="preserve"> Breaches concentrate where attributes conflict, namely aggressive investors with horizons under three years, because models tend to follow what the user appears to want (Sharma et al., 2024).</w:t>
      </w:r>
    </w:p>
    <w:p>
      <w:pPr>
        <w:pStyle w:val="ListParagraph"/>
        <w:numPr>
          <w:ilvl w:val="0"/>
          <w:numId w:val="2"/>
        </w:numPr>
        <w:spacing w:after="80" w:line="276" w:lineRule="auto"/>
        <w:jc w:val="both"/>
      </w:pPr>
      <w:r>
        <w:rPr>
          <w:rFonts w:ascii="Times New Roman" w:cs="Times New Roman" w:eastAsia="SimSun" w:hAnsi="Times New Roman"/>
          <w:b/>
          <w:bCs/>
        </w:rPr>
        <w:t xml:space="preserve">H7.</w:t>
      </w:r>
      <w:r>
        <w:rPr>
          <w:rFonts w:ascii="Times New Roman" w:cs="Times New Roman" w:eastAsia="SimSun" w:hAnsi="Times New Roman"/>
        </w:rPr>
        <w:t xml:space="preserve"> Repeated queries give highly reliable equity levels but varying fund selections.</w:t>
      </w:r>
    </w:p>
    <w:p>
      <w:pPr>
        <w:pStyle w:val="Heading1"/>
        <w:keepNext/>
        <w:spacing w:after="160" w:before="240" w:line="276" w:lineRule="auto"/>
        <w:jc w:val="center"/>
      </w:pPr>
      <w:r>
        <w:rPr>
          <w:rFonts w:ascii="Times New Roman" w:cs="Times New Roman" w:eastAsia="SimSun" w:hAnsi="Times New Roman"/>
          <w:b/>
          <w:bCs/>
          <w:sz w:val="24"/>
          <w:szCs w:val="24"/>
        </w:rPr>
        <w:t xml:space="preserve">3. Literature Review and Theoretical Background</w:t>
      </w:r>
    </w:p>
    <w:p>
      <w:pPr>
        <w:pStyle w:val="Heading2"/>
        <w:keepNext/>
        <w:spacing w:after="120" w:before="200" w:line="276" w:lineRule="auto"/>
      </w:pPr>
      <w:r>
        <w:rPr>
          <w:rFonts w:ascii="Times New Roman" w:cs="Times New Roman" w:eastAsia="SimSun" w:hAnsi="Times New Roman"/>
          <w:b/>
          <w:bCs/>
          <w:sz w:val="24"/>
          <w:szCs w:val="24"/>
        </w:rPr>
        <w:t xml:space="preserve">3.1 What suitability means</w:t>
      </w:r>
    </w:p>
    <w:p>
      <w:pPr>
        <w:spacing w:after="120" w:line="276" w:lineRule="auto"/>
        <w:ind w:firstLine="567"/>
        <w:jc w:val="both"/>
      </w:pPr>
      <w:r>
        <w:rPr>
          <w:rFonts w:ascii="Times New Roman" w:cs="Times New Roman" w:eastAsia="SimSun" w:hAnsi="Times New Roman"/>
        </w:rPr>
        <w:t xml:space="preserve">Suitability has an economic and a legal meaning. In life-cycle theory the right share of risky assets depends on risk aversion and total wealth, including human capital: flexible labour supply lets a worker take more financial risk (Bodie et al., 1992), and when labour income behaves like a bond, the optimal equity share declines with age (Cocco et al., 2005). Horizon matters through liquidity, since money needed within months cannot wait for a recovery.</w:t>
      </w:r>
    </w:p>
    <w:p>
      <w:pPr>
        <w:spacing w:after="120" w:line="276" w:lineRule="auto"/>
        <w:ind w:firstLine="567"/>
        <w:jc w:val="both"/>
      </w:pPr>
      <w:r>
        <w:rPr>
          <w:rFonts w:ascii="Times New Roman" w:cs="Times New Roman" w:eastAsia="SimSun" w:hAnsi="Times New Roman"/>
        </w:rPr>
        <w:t xml:space="preserve">In China, the CSRC's suitability measures (Order No. 130 of 2016, amended in 2020) require institutions to assess each investor's objectives, horizon and risk tolerance and to match investors with products (CSRC, 2020). For fund distribution, the AMAC (2017) guideline sorts investors into classes C1 to C5 and products into ratings R1 to R5 and applies a ceiling rule: C1 investors may buy only R1 products, C2 investors R1 and R2, and so on. The rule neither limits how much of a portfolio may sit at the ceiling nor stops a short-horizon investor in a high class from holding only equity funds, which is why this study adds horizon and liquidity benchmarks.</w:t>
      </w:r>
    </w:p>
    <w:p>
      <w:pPr>
        <w:pStyle w:val="Heading2"/>
        <w:keepNext/>
        <w:spacing w:after="120" w:before="200" w:line="276" w:lineRule="auto"/>
      </w:pPr>
      <w:r>
        <w:rPr>
          <w:rFonts w:ascii="Times New Roman" w:cs="Times New Roman" w:eastAsia="SimSun" w:hAnsi="Times New Roman"/>
          <w:b/>
          <w:bCs/>
          <w:sz w:val="24"/>
          <w:szCs w:val="24"/>
        </w:rPr>
        <w:t xml:space="preserve">3.2 Human, robo- and LLM advisers</w:t>
      </w:r>
    </w:p>
    <w:p>
      <w:pPr>
        <w:spacing w:after="120" w:line="276" w:lineRule="auto"/>
        <w:ind w:firstLine="567"/>
        <w:jc w:val="both"/>
      </w:pPr>
      <w:r>
        <w:rPr>
          <w:rFonts w:ascii="Times New Roman" w:cs="Times New Roman" w:eastAsia="SimSun" w:hAnsi="Times New Roman"/>
        </w:rPr>
        <w:t xml:space="preserve">Human advice is uneven. The identity of a Canadian adviser explained more of a client's portfolio risk than the client's own characteristics (Foerster et al., 2017), and advisers in an audit study reinforced biases that served their own interests (Mullainathan et al., 2012). Investors nonetheless delegate to "money doctors" they trust (Gennaioli et al., 2015), as they may to a fluent chatbot. Robo-advisers improved diversification (D'Acunto et al., 2019) and can learn a client's risk profile through interaction (Capponi et al., 2022), but they are built for advice; a general-purpose LLM has no questionnaire, product database or suitability check unless a deployer adds them.</w:t>
      </w:r>
    </w:p>
    <w:p>
      <w:pPr>
        <w:spacing w:after="120" w:line="276" w:lineRule="auto"/>
        <w:ind w:firstLine="567"/>
        <w:jc w:val="both"/>
      </w:pPr>
      <w:r>
        <w:rPr>
          <w:rFonts w:ascii="Times New Roman" w:cs="Times New Roman" w:eastAsia="SimSun" w:hAnsi="Times New Roman"/>
        </w:rPr>
        <w:t xml:space="preserve">Research on LLM advice is recent. Niszczota and Abbas (2023) tested GPT models on financial literacy, Lo and Ross (2024) named tailoring, ethical alignment and regulatory compliance as obstacles to trusting them, and Oehler and Horn (2024) compared ChatGPT with robo-advisers. Fieberg et al. (2025) found sensible average tailoring across 32 models, but closer studies are less reassuring: Ross and Lo (2026) found decision-tree-like heuristics in GPT-4o's advice to 1,000 synthetic clients, Choukhmane et al. (2026) traced about two-thirds of the gender gap in recommended equity to how men and women worded their prompts, and Foltyn and Olsson (2026) isolated a label effect of about 1.8 percentage points. Barbieri et al. (2026) argue that recommendations should first be audited as executable actions, checking validity and stability across repeated runs.</w:t>
      </w:r>
    </w:p>
    <w:p>
      <w:pPr>
        <w:pStyle w:val="Heading2"/>
        <w:keepNext/>
        <w:spacing w:after="120" w:before="200" w:line="276" w:lineRule="auto"/>
      </w:pPr>
      <w:r>
        <w:rPr>
          <w:rFonts w:ascii="Times New Roman" w:cs="Times New Roman" w:eastAsia="SimSun" w:hAnsi="Times New Roman"/>
          <w:b/>
          <w:bCs/>
          <w:sz w:val="24"/>
          <w:szCs w:val="24"/>
        </w:rPr>
        <w:t xml:space="preserve">3.3 Why LLM outputs need special scrutiny</w:t>
      </w:r>
    </w:p>
    <w:p>
      <w:pPr>
        <w:spacing w:after="120" w:line="276" w:lineRule="auto"/>
        <w:ind w:firstLine="567"/>
        <w:jc w:val="both"/>
      </w:pPr>
      <w:r>
        <w:rPr>
          <w:rFonts w:ascii="Times New Roman" w:cs="Times New Roman" w:eastAsia="SimSun" w:hAnsi="Times New Roman"/>
        </w:rPr>
        <w:t xml:space="preserve">Four properties of LLMs shape the design. Models can produce fluent but false content (Ji et al., 2023), outputs vary across identical runs (Atil et al., 2024), outputs are sensitive to the form of the prompt (Sclar et al., 2024), and assistants trained on human preferences tend to tell users what they appear to want (Sharma et al., 2024). An audit therefore needs a fixed product menu, repeated queries and conditions that differ in one element only.</w:t>
      </w:r>
    </w:p>
    <w:p>
      <w:pPr>
        <w:spacing w:after="120" w:line="276" w:lineRule="auto"/>
        <w:ind w:firstLine="567"/>
        <w:jc w:val="both"/>
      </w:pPr>
      <w:r>
        <w:rPr>
          <w:rFonts w:ascii="Times New Roman" w:cs="Times New Roman" w:eastAsia="SimSun" w:hAnsi="Times New Roman"/>
        </w:rPr>
        <w:t xml:space="preserve">Audit studies identify differential treatment by varying one attribute of otherwise identical applications (Bertrand &amp; Mullainathan, 2004). No study so far combines an orthogonal design, scoring against a real matching rule with real product ratings, a within-investor test of a prompt-level guardrail and a back-test of every recommended portfolio. This study does so in the Chinese fund market, whose C1-C5 and R1-R5 framework offers an unusually explicit yardstick.</w:t>
      </w:r>
    </w:p>
    <w:p>
      <w:pPr>
        <w:pStyle w:val="Heading1"/>
        <w:keepNext/>
        <w:spacing w:after="160" w:before="240" w:line="276" w:lineRule="auto"/>
        <w:jc w:val="center"/>
      </w:pPr>
      <w:r>
        <w:rPr>
          <w:rFonts w:ascii="Times New Roman" w:cs="Times New Roman" w:eastAsia="SimSun" w:hAnsi="Times New Roman"/>
          <w:b/>
          <w:bCs/>
          <w:sz w:val="24"/>
          <w:szCs w:val="24"/>
        </w:rPr>
        <w:t xml:space="preserve">4. Research Methodology and Experimental Design</w:t>
      </w:r>
    </w:p>
    <w:p>
      <w:pPr>
        <w:pStyle w:val="Heading2"/>
        <w:keepNext/>
        <w:spacing w:after="120" w:before="200" w:line="276" w:lineRule="auto"/>
      </w:pPr>
      <w:r>
        <w:rPr>
          <w:rFonts w:ascii="Times New Roman" w:cs="Times New Roman" w:eastAsia="SimSun" w:hAnsi="Times New Roman"/>
          <w:b/>
          <w:bCs/>
          <w:sz w:val="24"/>
          <w:szCs w:val="24"/>
        </w:rPr>
        <w:t xml:space="preserve">4.1 Relationship to the reference materials</w:t>
      </w:r>
    </w:p>
    <w:p>
      <w:pPr>
        <w:spacing w:after="120" w:line="276" w:lineRule="auto"/>
        <w:ind w:firstLine="567"/>
        <w:jc w:val="both"/>
      </w:pPr>
      <w:r>
        <w:rPr>
          <w:rFonts w:ascii="Times New Roman" w:cs="Times New Roman" w:eastAsia="SimSun" w:hAnsi="Times New Roman"/>
        </w:rPr>
        <w:t xml:space="preserve">The course's example audit, API-calling script and presentation template served as orientation only; this study uses its own question, profiles, prompts and fund menu. Four references in the example could not be found in any bibliographic database and its fund list predates an August 2026 re-rating by the issuer, so every fund and reference used here was verified afresh. Our runner keeps the example script's OpenAI-compatible calls and retries and adds append-only logging, prompt hashing and randomised call order.</w:t>
      </w:r>
    </w:p>
    <w:p>
      <w:pPr>
        <w:pStyle w:val="Heading2"/>
        <w:keepNext/>
        <w:spacing w:after="120" w:before="200" w:line="276" w:lineRule="auto"/>
      </w:pPr>
      <w:r>
        <w:rPr>
          <w:rFonts w:ascii="Times New Roman" w:cs="Times New Roman" w:eastAsia="SimSun" w:hAnsi="Times New Roman"/>
          <w:b/>
          <w:bCs/>
          <w:sz w:val="24"/>
          <w:szCs w:val="24"/>
        </w:rPr>
        <w:t xml:space="preserve">4.2 Design overview</w:t>
      </w:r>
    </w:p>
    <w:p>
      <w:pPr>
        <w:spacing w:after="120" w:line="276" w:lineRule="auto"/>
        <w:ind w:firstLine="567"/>
        <w:jc w:val="both"/>
      </w:pPr>
      <w:r>
        <w:rPr>
          <w:rFonts w:ascii="Times New Roman" w:cs="Times New Roman" w:eastAsia="SimSun" w:hAnsi="Times New Roman"/>
        </w:rPr>
        <w:t xml:space="preserve">Three investor attributes vary between investors; two prompt conditions and three models vary within investors (Table 1, Figure 1). Each of the 200 synthetic investors occupies one cell of the 5 x 5 x 8 factorial and is advised by every model under both conditions. The 1,200 main observations are therefore repeated measures on 200 investors, and comparisons between conditions or models are paired by investor.</w:t>
      </w:r>
    </w:p>
    <w:p>
      <w:pPr>
        <w:keepNext/>
        <w:spacing w:after="0" w:before="200" w:line="276" w:lineRule="auto"/>
        <w:jc w:val="left"/>
      </w:pPr>
      <w:r>
        <w:rPr>
          <w:rFonts w:ascii="Times New Roman" w:cs="Times New Roman" w:eastAsia="SimSun" w:hAnsi="Times New Roman"/>
          <w:b/>
          <w:bCs/>
        </w:rPr>
        <w:t xml:space="preserve">Table 1</w:t>
      </w:r>
    </w:p>
    <w:p>
      <w:pPr>
        <w:keepNext/>
        <w:spacing w:after="80" w:before="0" w:line="276" w:lineRule="auto"/>
        <w:jc w:val="left"/>
      </w:pPr>
      <w:r>
        <w:rPr>
          <w:rFonts w:ascii="Times New Roman" w:cs="Times New Roman" w:eastAsia="SimSun" w:hAnsi="Times New Roman"/>
          <w:i/>
          <w:iCs/>
        </w:rPr>
        <w:t xml:space="preserve">Design overview and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9"/>
        <w:gridCol w:w="3016"/>
        <w:gridCol w:w="1633"/>
        <w:gridCol w:w="2248"/>
      </w:tblGrid>
      <w:tr>
        <w:trPr>
          <w:tblHeader/>
        </w:trPr>
        <w:tc>
          <w:tcPr>
            <w:tcW w:type="dxa" w:w="212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Component</w:t>
            </w:r>
          </w:p>
        </w:tc>
        <w:tc>
          <w:tcPr>
            <w:tcW w:type="dxa" w:w="301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Specification</w:t>
            </w:r>
          </w:p>
        </w:tc>
        <w:tc>
          <w:tcPr>
            <w:tcW w:type="dxa" w:w="163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Unique units</w:t>
            </w:r>
          </w:p>
        </w:tc>
        <w:tc>
          <w:tcPr>
            <w:tcW w:type="dxa" w:w="22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Observations</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Investor attributes (between investors)</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Horizon (5) x risk tolerance (5) x age band (8), one investor per cell</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200 investors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Prompt condition (within investor)</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BASE vs SUIT (BASE plus suitability protocol)</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Model (within investor)</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Doubao, DeepSeek, Kimi</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Main sample</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Investors x conditions x models</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200 investors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1,200</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Consistency module</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of the 200 investors, two extra replicates</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investors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480</w:t>
            </w:r>
          </w:p>
        </w:tc>
      </w:tr>
      <w:tr>
        <w:trPr>
          <w:tblHeader w:val="false"/>
        </w:trPr>
        <w:tc>
          <w:tcPr>
            <w:tcW w:type="dxa" w:w="212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Probe module</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anchors x 16 single-attribute versions</w:t>
            </w:r>
          </w:p>
        </w:tc>
        <w:tc>
          <w:tcPr>
            <w:tcW w:type="dxa" w:w="16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138 distinct texts</w:t>
            </w:r>
          </w:p>
        </w:tc>
        <w:tc>
          <w:tcPr>
            <w:tcW w:type="dxa" w:w="2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828</w:t>
            </w:r>
          </w:p>
        </w:tc>
      </w:tr>
      <w:tr>
        <w:trPr>
          <w:tblHeader w:val="false"/>
        </w:trPr>
        <w:tc>
          <w:tcPr>
            <w:tcW w:type="dxa" w:w="212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Total</w:t>
            </w:r>
          </w:p>
        </w:tc>
        <w:tc>
          <w:tcPr>
            <w:tcW w:type="dxa" w:w="301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p>
        </w:tc>
        <w:tc>
          <w:tcPr>
            <w:tcW w:type="dxa" w:w="163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p>
        </w:tc>
        <w:tc>
          <w:tcPr>
            <w:tcW w:type="dxa" w:w="22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2,508 (plus a 60-call pilot, excluded)</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All investors are synthetic. Consistency replicates 2 and 3 add to each investor's main-sample reply. Probe versions that coincide across anchors are queried once.</w:t>
      </w:r>
    </w:p>
    <w:p>
      <w:pPr>
        <w:keepNext/>
        <w:spacing w:after="0" w:before="200" w:line="276" w:lineRule="auto"/>
        <w:jc w:val="left"/>
      </w:pPr>
      <w:r>
        <w:rPr>
          <w:rFonts w:ascii="Times New Roman" w:cs="Times New Roman" w:eastAsia="SimSun" w:hAnsi="Times New Roman"/>
          <w:b/>
          <w:bCs/>
        </w:rPr>
        <w:t xml:space="preserve">Figure 1</w:t>
      </w:r>
    </w:p>
    <w:p>
      <w:pPr>
        <w:keepNext/>
        <w:spacing w:after="80" w:before="0" w:line="276" w:lineRule="auto"/>
        <w:jc w:val="left"/>
      </w:pPr>
      <w:r>
        <w:rPr>
          <w:rFonts w:ascii="Times New Roman" w:cs="Times New Roman" w:eastAsia="SimSun" w:hAnsi="Times New Roman"/>
          <w:i/>
          <w:iCs/>
        </w:rPr>
        <w:t xml:space="preserve">Experimental pipeline</w:t>
      </w:r>
    </w:p>
    <w:p>
      <w:pPr>
        <w:keepNext/>
        <w:spacing w:after="60" w:before="60" w:line="240" w:lineRule="auto"/>
        <w:jc w:val="center"/>
      </w:pPr>
      <w:r>
        <w:drawing>
          <wp:inline distT="0" distB="0" distL="0" distR="0">
            <wp:extent cx="5715000" cy="3305175"/>
            <wp:effectExtent t="0" r="0" b="0" l="0"/>
            <wp:docPr id="1" name="Figure 1. Experimental pipeline" descr="Figure 1. Experimental pipeline" title="Figure 1. Experimenta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Inputs (1, 2) and treatments (3, 4) are fixed before any model is queried. All calls are logged before coding (5); coded portfolios are back-tested (6) and analysed (7).</w:t>
      </w:r>
    </w:p>
    <w:p>
      <w:pPr>
        <w:pStyle w:val="Heading2"/>
        <w:keepNext/>
        <w:spacing w:after="120" w:before="200" w:line="276" w:lineRule="auto"/>
      </w:pPr>
      <w:r>
        <w:rPr>
          <w:rFonts w:ascii="Times New Roman" w:cs="Times New Roman" w:eastAsia="SimSun" w:hAnsi="Times New Roman"/>
          <w:b/>
          <w:bCs/>
          <w:sz w:val="24"/>
          <w:szCs w:val="24"/>
        </w:rPr>
        <w:t xml:space="preserve">4.3 Conditions and controls</w:t>
      </w:r>
    </w:p>
    <w:p>
      <w:pPr>
        <w:spacing w:after="120" w:line="276" w:lineRule="auto"/>
        <w:ind w:firstLine="567"/>
        <w:jc w:val="both"/>
      </w:pPr>
      <w:r>
        <w:rPr>
          <w:rFonts w:ascii="Times New Roman" w:cs="Times New Roman" w:eastAsia="SimSun" w:hAnsi="Times New Roman"/>
        </w:rPr>
        <w:t xml:space="preserve">The conditions represent two ways a platform might deploy a general-purpose model. Under BASE, the system prompt casts the model as an adviser on a licensed distribution platform, lists the menu with each fund's risk rating and specifies a JSON reply. Under SUIT, a four-step protocol is appended: classify the client into C1 to C5; recommend only funds rated at or below that class; check each fund against the horizon, liquidity need and minimum holding period; and state and resolve any conflict in the profile. BASE is an exact prefix of SUIT (verified by an automated test), and because ratings appear in both, a BASE breach cannot be blamed on missing information. Everything else is held constant, gender, names and cities never appear, and calls run in random order.</w:t>
      </w:r>
    </w:p>
    <w:p>
      <w:pPr>
        <w:pStyle w:val="Heading1"/>
        <w:keepNext/>
        <w:spacing w:after="160" w:before="240" w:line="276" w:lineRule="auto"/>
        <w:jc w:val="center"/>
      </w:pPr>
      <w:r>
        <w:rPr>
          <w:rFonts w:ascii="Times New Roman" w:cs="Times New Roman" w:eastAsia="SimSun" w:hAnsi="Times New Roman"/>
          <w:b/>
          <w:bCs/>
          <w:sz w:val="24"/>
          <w:szCs w:val="24"/>
        </w:rPr>
        <w:t xml:space="preserve">5. Synthetic Investor Sample Construction</w:t>
      </w:r>
    </w:p>
    <w:p>
      <w:pPr>
        <w:pStyle w:val="Heading2"/>
        <w:keepNext/>
        <w:spacing w:after="120" w:before="200" w:line="276" w:lineRule="auto"/>
      </w:pPr>
      <w:r>
        <w:rPr>
          <w:rFonts w:ascii="Times New Roman" w:cs="Times New Roman" w:eastAsia="SimSun" w:hAnsi="Times New Roman"/>
          <w:b/>
          <w:bCs/>
          <w:sz w:val="24"/>
          <w:szCs w:val="24"/>
        </w:rPr>
        <w:t xml:space="preserve">5.1 Category definitions</w:t>
      </w:r>
    </w:p>
    <w:p>
      <w:pPr>
        <w:spacing w:after="120" w:line="276" w:lineRule="auto"/>
        <w:ind w:firstLine="567"/>
        <w:jc w:val="both"/>
      </w:pPr>
      <w:r>
        <w:rPr>
          <w:rFonts w:ascii="Times New Roman" w:cs="Times New Roman" w:eastAsia="SimSun" w:hAnsi="Times New Roman"/>
        </w:rPr>
        <w:t xml:space="preserve">All category definitions were fixed before the profiles were generated and are stored in one code module that every later step reads. Horizon bands are half-open intervals (Table 2). The five risk classes combine attitudes, reactions to losses and the maximum acceptable decline, as risk-tolerance questionnaires do (Grable &amp; Lytton, 1999), and differ in degree rather than kind (Table 3). Age bands cover ages 18 to 85 without gaps and follow life-cycle stages: 18-24, 25-34, 35-44, 45-54, 55-59, 60-64, 65-74 and 75-85 (A1 to A8).</w:t>
      </w:r>
    </w:p>
    <w:p>
      <w:pPr>
        <w:keepNext/>
        <w:spacing w:after="0" w:before="200" w:line="276" w:lineRule="auto"/>
        <w:jc w:val="left"/>
      </w:pPr>
      <w:r>
        <w:rPr>
          <w:rFonts w:ascii="Times New Roman" w:cs="Times New Roman" w:eastAsia="SimSun" w:hAnsi="Times New Roman"/>
          <w:b/>
          <w:bCs/>
        </w:rPr>
        <w:t xml:space="preserve">Table 2</w:t>
      </w:r>
    </w:p>
    <w:p>
      <w:pPr>
        <w:keepNext/>
        <w:spacing w:after="80" w:before="0" w:line="276" w:lineRule="auto"/>
        <w:jc w:val="left"/>
      </w:pPr>
      <w:r>
        <w:rPr>
          <w:rFonts w:ascii="Times New Roman" w:cs="Times New Roman" w:eastAsia="SimSun" w:hAnsi="Times New Roman"/>
          <w:i/>
          <w:iCs/>
        </w:rPr>
        <w:t xml:space="preserve">Investment horizon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3"/>
        <w:gridCol w:w="2924"/>
        <w:gridCol w:w="2381"/>
        <w:gridCol w:w="2798"/>
      </w:tblGrid>
      <w:tr>
        <w:trPr>
          <w:tblHeader/>
        </w:trPr>
        <w:tc>
          <w:tcPr>
            <w:tcW w:type="dxa" w:w="92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Code</w:t>
            </w:r>
          </w:p>
        </w:tc>
        <w:tc>
          <w:tcPr>
            <w:tcW w:type="dxa" w:w="2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Label</w:t>
            </w:r>
          </w:p>
        </w:tc>
        <w:tc>
          <w:tcPr>
            <w:tcW w:type="dxa" w:w="238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Definition</w:t>
            </w:r>
          </w:p>
        </w:tc>
        <w:tc>
          <w:tcPr>
            <w:tcW w:type="dxa" w:w="279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Horizons stated in profiles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H1</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Short-term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Less than 1 year</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 6 or 9 months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H2</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Short-to-medium 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 to less than 3 years</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1.5, 2 or 2.5 years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H3</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Medium-term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 to less than 5 years</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 to 4.5 years</w:t>
            </w:r>
          </w:p>
        </w:tc>
      </w:tr>
      <w:tr>
        <w:trPr>
          <w:tblHeader w:val="false"/>
        </w:trPr>
        <w:tc>
          <w:tcPr>
            <w:tcW w:type="dxa" w:w="92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H4</w:t>
            </w:r>
          </w:p>
        </w:tc>
        <w:tc>
          <w:tcPr>
            <w:tcW w:type="dxa" w:w="2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Medium-to-long term</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 to less than 10 years</w:t>
            </w:r>
          </w:p>
        </w:tc>
        <w:tc>
          <w:tcPr>
            <w:tcW w:type="dxa" w:w="279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 to 9 years</w:t>
            </w:r>
          </w:p>
        </w:tc>
      </w:tr>
      <w:tr>
        <w:trPr>
          <w:tblHeader w:val="false"/>
        </w:trPr>
        <w:tc>
          <w:tcPr>
            <w:tcW w:type="dxa" w:w="92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H5</w:t>
            </w:r>
          </w:p>
        </w:tc>
        <w:tc>
          <w:tcPr>
            <w:tcW w:type="dxa" w:w="2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Long-term</w:t>
            </w:r>
          </w:p>
        </w:tc>
        <w:tc>
          <w:tcPr>
            <w:tcW w:type="dxa" w:w="238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years or more</w:t>
            </w:r>
          </w:p>
        </w:tc>
        <w:tc>
          <w:tcPr>
            <w:tcW w:type="dxa" w:w="279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10 to 25 years (at most 15 for ages 75-85)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The horizon is the time until the money is expected to be withdrawn. Exact values were drawn at random within each band (seed 20261022).</w:t>
      </w:r>
    </w:p>
    <w:p>
      <w:pPr>
        <w:keepNext/>
        <w:spacing w:after="0" w:before="200" w:line="276" w:lineRule="auto"/>
        <w:jc w:val="left"/>
      </w:pPr>
      <w:r>
        <w:rPr>
          <w:rFonts w:ascii="Times New Roman" w:cs="Times New Roman" w:eastAsia="SimSun" w:hAnsi="Times New Roman"/>
          <w:b/>
          <w:bCs/>
        </w:rPr>
        <w:t xml:space="preserve">Table 3</w:t>
      </w:r>
    </w:p>
    <w:p>
      <w:pPr>
        <w:keepNext/>
        <w:spacing w:after="80" w:before="0" w:line="276" w:lineRule="auto"/>
        <w:jc w:val="left"/>
      </w:pPr>
      <w:r>
        <w:rPr>
          <w:rFonts w:ascii="Times New Roman" w:cs="Times New Roman" w:eastAsia="SimSun" w:hAnsi="Times New Roman"/>
          <w:i/>
          <w:iCs/>
        </w:rPr>
        <w:t xml:space="preserve">Risk tolerance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5"/>
        <w:gridCol w:w="2052"/>
        <w:gridCol w:w="2037"/>
        <w:gridCol w:w="2345"/>
        <w:gridCol w:w="1757"/>
      </w:tblGrid>
      <w:tr>
        <w:trPr>
          <w:tblHeader/>
        </w:trPr>
        <w:tc>
          <w:tcPr>
            <w:tcW w:type="dxa" w:w="8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Code</w:t>
            </w:r>
          </w:p>
        </w:tc>
        <w:tc>
          <w:tcPr>
            <w:tcW w:type="dxa" w:w="20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Label</w:t>
            </w:r>
          </w:p>
        </w:tc>
        <w:tc>
          <w:tcPr>
            <w:tcW w:type="dxa" w:w="20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Maximum acceptable one-year decline</w:t>
            </w:r>
          </w:p>
        </w:tc>
        <w:tc>
          <w:tcPr>
            <w:tcW w:type="dxa" w:w="23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Reaction to a 20% market fall</w:t>
            </w:r>
          </w:p>
        </w:tc>
        <w:tc>
          <w:tcPr>
            <w:tcW w:type="dxa" w:w="175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Highest permitted rating</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C1</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Very conservative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None</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Sell everything</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R1</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C2</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Conservative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About 5%</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Sell part</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R2</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C3</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Moderate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About 15%</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 and wait</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R3</w:t>
            </w:r>
          </w:p>
        </w:tc>
      </w:tr>
      <w:tr>
        <w:trPr>
          <w:tblHeader w:val="false"/>
        </w:trPr>
        <w:tc>
          <w:tcPr>
            <w:tcW w:type="dxa" w:w="8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C4</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Aggressive</w:t>
            </w:r>
          </w:p>
        </w:tc>
        <w:tc>
          <w:tcPr>
            <w:tcW w:type="dxa" w:w="203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About 25%</w:t>
            </w:r>
          </w:p>
        </w:tc>
        <w:tc>
          <w:tcPr>
            <w:tcW w:type="dxa" w:w="23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 possibly add</w:t>
            </w:r>
          </w:p>
        </w:tc>
        <w:tc>
          <w:tcPr>
            <w:tcW w:type="dxa" w:w="175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R4</w:t>
            </w:r>
          </w:p>
        </w:tc>
      </w:tr>
      <w:tr>
        <w:trPr>
          <w:tblHeader w:val="false"/>
        </w:trPr>
        <w:tc>
          <w:tcPr>
            <w:tcW w:type="dxa" w:w="8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C5</w:t>
            </w:r>
          </w:p>
        </w:tc>
        <w:tc>
          <w:tcPr>
            <w:tcW w:type="dxa" w:w="20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Very aggressive</w:t>
            </w:r>
          </w:p>
        </w:tc>
        <w:tc>
          <w:tcPr>
            <w:tcW w:type="dxa" w:w="20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 or more</w:t>
            </w:r>
          </w:p>
        </w:tc>
        <w:tc>
          <w:tcPr>
            <w:tcW w:type="dxa" w:w="23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Invest substantially more</w:t>
            </w:r>
          </w:p>
        </w:tc>
        <w:tc>
          <w:tcPr>
            <w:tcW w:type="dxa" w:w="175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Each class also states a priority, from protecting capital (C1) to the highest long-term return (C5). Models see the label and statements, never the code. Permitted ratings follow the distributors' matching table (AMAC, 2017).</w:t>
      </w:r>
    </w:p>
    <w:p>
      <w:pPr>
        <w:pStyle w:val="Heading2"/>
        <w:keepNext/>
        <w:spacing w:after="120" w:before="200" w:line="276" w:lineRule="auto"/>
      </w:pPr>
      <w:r>
        <w:rPr>
          <w:rFonts w:ascii="Times New Roman" w:cs="Times New Roman" w:eastAsia="SimSun" w:hAnsi="Times New Roman"/>
          <w:b/>
          <w:bCs/>
          <w:sz w:val="24"/>
          <w:szCs w:val="24"/>
        </w:rPr>
        <w:t xml:space="preserve">5.2 Sampling and consistency of profiles</w:t>
      </w:r>
    </w:p>
    <w:p>
      <w:pPr>
        <w:spacing w:after="120" w:line="276" w:lineRule="auto"/>
        <w:ind w:firstLine="567"/>
        <w:jc w:val="both"/>
      </w:pPr>
      <w:r>
        <w:rPr>
          <w:rFonts w:ascii="Times New Roman" w:cs="Times New Roman" w:eastAsia="SimSun" w:hAnsi="Times New Roman"/>
        </w:rPr>
        <w:t xml:space="preserve">The main sample is a balanced full factorial: each of the 200 combinations occurs exactly once, giving 40 investors per horizon band and risk class and 25 per age band, with every pair of attributes independent (Cramer's V = 0). Random sampling would have produced uneven cells and confounded age with horizon. Exact values were drawn within cells with a fixed seed, and identifiers were assigned after shuffling.</w:t>
      </w:r>
    </w:p>
    <w:p>
      <w:pPr>
        <w:spacing w:after="120" w:line="276" w:lineRule="auto"/>
        <w:ind w:firstLine="567"/>
        <w:jc w:val="both"/>
      </w:pPr>
      <w:r>
        <w:rPr>
          <w:rFonts w:ascii="Times New Roman" w:cs="Times New Roman" w:eastAsia="SimSun" w:hAnsi="Times New Roman"/>
        </w:rPr>
        <w:t xml:space="preserve">The price of orthogonality is realism: the sample contains, for example, 80-year-olds with horizons above ten years. Each profile therefore also states employment, objective, liquidity need, experience and amount, derived from age and horizon by explicit rules: only investors aged 60 or older are retired, experience cannot exceed age minus 18, and legacy goals occur only from age 65 with a long horizon, which is how an 80-year-old can coherently hold a 12-year horizon. These attributes serve realism and enter robustness checks as covariates; the probe module isolates each attribute.</w:t>
      </w:r>
    </w:p>
    <w:p>
      <w:pPr>
        <w:pStyle w:val="Heading2"/>
        <w:keepNext/>
        <w:spacing w:after="120" w:before="200" w:line="276" w:lineRule="auto"/>
      </w:pPr>
      <w:r>
        <w:rPr>
          <w:rFonts w:ascii="Times New Roman" w:cs="Times New Roman" w:eastAsia="SimSun" w:hAnsi="Times New Roman"/>
          <w:b/>
          <w:bCs/>
          <w:sz w:val="24"/>
          <w:szCs w:val="24"/>
        </w:rPr>
        <w:t xml:space="preserve">5.3 Validation, consistency subsample and probes</w:t>
      </w:r>
    </w:p>
    <w:p>
      <w:pPr>
        <w:spacing w:after="120" w:line="276" w:lineRule="auto"/>
        <w:ind w:firstLine="567"/>
        <w:jc w:val="both"/>
      </w:pPr>
      <w:r>
        <w:rPr>
          <w:rFonts w:ascii="Times New Roman" w:cs="Times New Roman" w:eastAsia="SimSun" w:hAnsi="Times New Roman"/>
        </w:rPr>
        <w:t xml:space="preserve">A validation script written independently of the generator applies 16 checks to counts, identifiers, factorial coverage, band consistency, the consistency rules, duplicates and attribute independence; all pass (Appendix B). Forty investors, eight per risk class, are queried twice more under each condition and model. For the probe module, ten anchors were rewritten with one attribute moved through all its levels, using neutral wording valid at every level; the 160 versions reduce to 138 distinct texts. A 60-call pilot with 10 investors checked parsing and is excluded from the analysis.</w:t>
      </w:r>
    </w:p>
    <w:p>
      <w:pPr>
        <w:pStyle w:val="Heading1"/>
        <w:keepNext/>
        <w:spacing w:after="160" w:before="240" w:line="276" w:lineRule="auto"/>
        <w:jc w:val="center"/>
      </w:pPr>
      <w:r>
        <w:rPr>
          <w:rFonts w:ascii="Times New Roman" w:cs="Times New Roman" w:eastAsia="SimSun" w:hAnsi="Times New Roman"/>
          <w:b/>
          <w:bCs/>
          <w:sz w:val="24"/>
          <w:szCs w:val="24"/>
        </w:rPr>
        <w:t xml:space="preserve">6. Fund Menu and Data Sources</w:t>
      </w:r>
    </w:p>
    <w:p>
      <w:pPr>
        <w:spacing w:after="120" w:line="276" w:lineRule="auto"/>
        <w:ind w:firstLine="567"/>
        <w:jc w:val="both"/>
      </w:pPr>
      <w:r>
        <w:rPr>
          <w:rFonts w:ascii="Times New Roman" w:cs="Times New Roman" w:eastAsia="SimSun" w:hAnsi="Times New Roman"/>
        </w:rPr>
        <w:t xml:space="preserve">Models choose from a fixed menu of 23 Chinese public mutual funds rather than from memory. A menu mirrors a platform's shelf, makes every reply codable and separates suitability from the fabrication of non-existent products (Ji et al., 2023). The funds are open-end retail funds with at least three years of history from 14 managers. They span money market, bond, hybrid, broad and sector index funds, four QDII funds investing in US, Hong Kong and global energy equities, a gold fund and a target-risk pension fund of funds whose three-year minimum holding period provides a direct liquidity test (Table 4; full list in Appendix D). Only Chinese-registered funds are used, because mainland investors cannot buy foreign-domiciled funds directly and such funds carry no R1-R5 rating; QDII funds supply overseas exposure within the domestic framework.</w:t>
      </w:r>
    </w:p>
    <w:p>
      <w:pPr>
        <w:keepNext/>
        <w:spacing w:after="0" w:before="200" w:line="276" w:lineRule="auto"/>
        <w:jc w:val="left"/>
      </w:pPr>
      <w:r>
        <w:rPr>
          <w:rFonts w:ascii="Times New Roman" w:cs="Times New Roman" w:eastAsia="SimSun" w:hAnsi="Times New Roman"/>
          <w:b/>
          <w:bCs/>
        </w:rPr>
        <w:t xml:space="preserve">Table 4</w:t>
      </w:r>
    </w:p>
    <w:p>
      <w:pPr>
        <w:keepNext/>
        <w:spacing w:after="80" w:before="0" w:line="276" w:lineRule="auto"/>
        <w:jc w:val="left"/>
      </w:pPr>
      <w:r>
        <w:rPr>
          <w:rFonts w:ascii="Times New Roman" w:cs="Times New Roman" w:eastAsia="SimSun" w:hAnsi="Times New Roman"/>
          <w:i/>
          <w:iCs/>
        </w:rPr>
        <w:t xml:space="preserve">Composition of the fund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1056"/>
        <w:gridCol w:w="2878"/>
        <w:gridCol w:w="897"/>
        <w:gridCol w:w="2443"/>
      </w:tblGrid>
      <w:tr>
        <w:trPr>
          <w:tblHeader/>
        </w:trPr>
        <w:tc>
          <w:tcPr>
            <w:tcW w:type="dxa" w:w="17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Asset class</w:t>
            </w:r>
          </w:p>
        </w:tc>
        <w:tc>
          <w:tcPr>
            <w:tcW w:type="dxa" w:w="10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Funds</w:t>
            </w:r>
          </w:p>
        </w:tc>
        <w:tc>
          <w:tcPr>
            <w:tcW w:type="dxa" w:w="287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Example (code)</w:t>
            </w:r>
          </w:p>
        </w:tc>
        <w:tc>
          <w:tcPr>
            <w:tcW w:type="dxa" w:w="8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QDII</w:t>
            </w:r>
          </w:p>
        </w:tc>
        <w:tc>
          <w:tcPr>
            <w:tcW w:type="dxa" w:w="24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Equity exposure basis</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Cash</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3</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Tianhong Yu'e Bao money market (000198)</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Bond</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ChinaAMC pure bond A (000015)</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Reported stock share</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Hybrid</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5</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Invesco Great Wall emerging growth A (260108)</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Reported share; 50% for the pension FOF</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9</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GF Nasdaq-100 feeder QDII A (270042)</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Reported share; 95% for index feeders</w:t>
            </w:r>
          </w:p>
        </w:tc>
      </w:tr>
      <w:tr>
        <w:trPr>
          <w:tblHeader w:val="false"/>
        </w:trPr>
        <w:tc>
          <w:tcPr>
            <w:tcW w:type="dxa" w:w="175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Commodity</w:t>
            </w:r>
          </w:p>
        </w:tc>
        <w:tc>
          <w:tcPr>
            <w:tcW w:type="dxa" w:w="105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w:t>
            </w:r>
          </w:p>
        </w:tc>
        <w:tc>
          <w:tcPr>
            <w:tcW w:type="dxa" w:w="28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Huaan gold ETF feeder A (000216)</w:t>
            </w:r>
          </w:p>
        </w:tc>
        <w:tc>
          <w:tcPr>
            <w:tcW w:type="dxa" w:w="89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r>
      <w:tr>
        <w:trPr>
          <w:tblHeader w:val="false"/>
        </w:trPr>
        <w:tc>
          <w:tcPr>
            <w:tcW w:type="dxa" w:w="17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Total</w:t>
            </w:r>
          </w:p>
        </w:tc>
        <w:tc>
          <w:tcPr>
            <w:tcW w:type="dxa" w:w="10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23</w:t>
            </w:r>
          </w:p>
        </w:tc>
        <w:tc>
          <w:tcPr>
            <w:tcW w:type="dxa" w:w="287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14 managers</w:t>
            </w:r>
          </w:p>
        </w:tc>
        <w:tc>
          <w:tcPr>
            <w:tcW w:type="dxa" w:w="8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w:t>
            </w:r>
          </w:p>
        </w:tc>
        <w:tc>
          <w:tcPr>
            <w:tcW w:type="dxa" w:w="24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Identities verified against at least two public records on 22 October 2026. Ratings (R1 3, R2 4, R3 2, R4 14, R5 0) and stock shares from Eastmoney (Tiantian Fund), retrieved 23 October 2026; adjusted NAV histories from the course data service.</w:t>
      </w:r>
    </w:p>
    <w:p>
      <w:pPr>
        <w:spacing w:after="120" w:line="276" w:lineRule="auto"/>
        <w:ind w:firstLine="567"/>
        <w:jc w:val="both"/>
      </w:pPr>
      <w:r>
        <w:rPr>
          <w:rFonts w:ascii="Times New Roman" w:cs="Times New Roman" w:eastAsia="SimSun" w:hAnsi="Times New Roman"/>
        </w:rPr>
        <w:t xml:space="preserve">The course data service (Tonghuashun data via fuyao.aicubes.cn) supplies adjusted net asset values but no product risk rating. Ratings were therefore taken from the structured rating field of Eastmoney's Tiantian Fund, a licensed distributor, on 23 October 2026, with each fund's stock share from its 30 June 2026 report. Because ratings change (one manager re-rated more than twenty funds in August 2026), the retrieval date is part of the data. The menu contains no R5 fund, so a C4 or C5 investor cannot breach the rating ceiling and the rating test is informative only for classes C1 to C3. Equity exposure is each fund's reported stock share, or a stated category assumption for index feeders, the fund of funds and the gold fund.</w:t>
      </w:r>
    </w:p>
    <w:p>
      <w:pPr>
        <w:pStyle w:val="Heading1"/>
        <w:keepNext/>
        <w:spacing w:after="160" w:before="240" w:line="276" w:lineRule="auto"/>
        <w:jc w:val="center"/>
      </w:pPr>
      <w:r>
        <w:rPr>
          <w:rFonts w:ascii="Times New Roman" w:cs="Times New Roman" w:eastAsia="SimSun" w:hAnsi="Times New Roman"/>
          <w:b/>
          <w:bCs/>
          <w:sz w:val="24"/>
          <w:szCs w:val="24"/>
        </w:rPr>
        <w:t xml:space="preserve">7. AI Recommendation Prompts and Implementation</w:t>
      </w:r>
    </w:p>
    <w:p>
      <w:pPr>
        <w:pStyle w:val="Heading2"/>
        <w:keepNext/>
        <w:spacing w:after="120" w:before="200" w:line="276" w:lineRule="auto"/>
      </w:pPr>
      <w:r>
        <w:rPr>
          <w:rFonts w:ascii="Times New Roman" w:cs="Times New Roman" w:eastAsia="SimSun" w:hAnsi="Times New Roman"/>
          <w:b/>
          <w:bCs/>
          <w:sz w:val="24"/>
          <w:szCs w:val="24"/>
        </w:rPr>
        <w:t xml:space="preserve">7.1 Prompts</w:t>
      </w:r>
    </w:p>
    <w:p>
      <w:pPr>
        <w:spacing w:after="120" w:line="276" w:lineRule="auto"/>
        <w:ind w:firstLine="567"/>
        <w:jc w:val="both"/>
      </w:pPr>
      <w:r>
        <w:rPr>
          <w:rFonts w:ascii="Times New Roman" w:cs="Times New Roman" w:eastAsia="SimSun" w:hAnsi="Times New Roman"/>
        </w:rPr>
        <w:t xml:space="preserve">Each request has two messages. The system message carries the platform's instructions: the adviser role, the menu (code, name, manager, type, rating and notes on index, QDII status and holding period), the reply format and, under SUIT, the protocol. The user message is the investor: "Here is my situation:", the profile and a request for a portfolio (Appendix C). The JSON format asks for codes, whole-number weights, reasons, a dollar-cost-averaging flag, a rebalancing rule, risk warnings and an explanation; replies that break it are recorded as failures, never repaired by hand. The risk class code never appears, so under SUIT the model must classify the investor itself. The fixed menu order keeps conditions comparable but confounds menu position with fund appeal (Sclar et al., 2024).</w:t>
      </w:r>
    </w:p>
    <w:p>
      <w:pPr>
        <w:pStyle w:val="Heading2"/>
        <w:keepNext/>
        <w:spacing w:after="120" w:before="200" w:line="276" w:lineRule="auto"/>
      </w:pPr>
      <w:r>
        <w:rPr>
          <w:rFonts w:ascii="Times New Roman" w:cs="Times New Roman" w:eastAsia="SimSun" w:hAnsi="Times New Roman"/>
          <w:b/>
          <w:bCs/>
          <w:sz w:val="24"/>
          <w:szCs w:val="24"/>
        </w:rPr>
        <w:t xml:space="preserve">7.2 Models and configuration</w:t>
      </w:r>
    </w:p>
    <w:p>
      <w:pPr>
        <w:spacing w:after="120" w:line="276" w:lineRule="auto"/>
        <w:ind w:firstLine="567"/>
        <w:jc w:val="both"/>
      </w:pPr>
      <w:r>
        <w:rPr>
          <w:rFonts w:ascii="Times New Roman" w:cs="Times New Roman" w:eastAsia="SimSun" w:hAnsi="Times New Roman"/>
        </w:rPr>
        <w:t xml:space="preserve">Three models from three Chinese developers are audited (Table 5). The course route, the Volcano Engine Ark Agent Plan, could not be used because the group's keys were ordinary Ark keys, which the Agent Plan endpoint rejected. The same model families were therefore called through OpenRouter, an OpenAI-compatible gateway, with each model pinned to one serving provider and fallbacks disabled. Temperature is 0.7, as in the course's reference script, so sampling is stochastic and the consistency module measures the variation. Reasoning modes were disabled for all three models; for Kimi this was done after the pilot, in which it spent its whole output allowance on hidden reasoning and returned no answer.</w:t>
      </w:r>
    </w:p>
    <w:p>
      <w:pPr>
        <w:keepNext/>
        <w:spacing w:after="0" w:before="200" w:line="276" w:lineRule="auto"/>
        <w:jc w:val="left"/>
      </w:pPr>
      <w:r>
        <w:rPr>
          <w:rFonts w:ascii="Times New Roman" w:cs="Times New Roman" w:eastAsia="SimSun" w:hAnsi="Times New Roman"/>
          <w:b/>
          <w:bCs/>
        </w:rPr>
        <w:t xml:space="preserve">Table 5</w:t>
      </w:r>
    </w:p>
    <w:p>
      <w:pPr>
        <w:keepNext/>
        <w:spacing w:after="80" w:before="0" w:line="276" w:lineRule="auto"/>
        <w:jc w:val="left"/>
      </w:pPr>
      <w:r>
        <w:rPr>
          <w:rFonts w:ascii="Times New Roman" w:cs="Times New Roman" w:eastAsia="SimSun" w:hAnsi="Times New Roman"/>
          <w:i/>
          <w:iCs/>
        </w:rPr>
        <w:t xml:space="preserve">Model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2"/>
        <w:gridCol w:w="2912"/>
        <w:gridCol w:w="2718"/>
        <w:gridCol w:w="2134"/>
      </w:tblGrid>
      <w:tr>
        <w:trPr>
          <w:tblHeader/>
        </w:trPr>
        <w:tc>
          <w:tcPr>
            <w:tcW w:type="dxa" w:w="126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Setting</w:t>
            </w:r>
          </w:p>
        </w:tc>
        <w:tc>
          <w:tcPr>
            <w:tcW w:type="dxa" w:w="29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Doubao</w:t>
            </w:r>
          </w:p>
        </w:tc>
        <w:tc>
          <w:tcPr>
            <w:tcW w:type="dxa" w:w="271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DeepSeek</w:t>
            </w:r>
          </w:p>
        </w:tc>
        <w:tc>
          <w:tcPr>
            <w:tcW w:type="dxa" w:w="21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Kimi</w:t>
            </w:r>
          </w:p>
        </w:tc>
      </w:tr>
      <w:tr>
        <w:trPr>
          <w:tblHeader w:val="false"/>
        </w:trPr>
        <w:tc>
          <w:tcPr>
            <w:tcW w:type="dxa" w:w="12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Developer</w:t>
            </w:r>
          </w:p>
        </w:tc>
        <w:tc>
          <w:tcPr>
            <w:tcW w:type="dxa" w:w="2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ByteDance</w:t>
            </w:r>
          </w:p>
        </w:tc>
        <w:tc>
          <w:tcPr>
            <w:tcW w:type="dxa" w:w="27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DeepSeek</w:t>
            </w:r>
          </w:p>
        </w:tc>
        <w:tc>
          <w:tcPr>
            <w:tcW w:type="dxa" w:w="2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Moonshot AI</w:t>
            </w:r>
          </w:p>
        </w:tc>
      </w:tr>
      <w:tr>
        <w:trPr>
          <w:tblHeader w:val="false"/>
        </w:trPr>
        <w:tc>
          <w:tcPr>
            <w:tcW w:type="dxa" w:w="12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Model identifier</w:t>
            </w:r>
          </w:p>
        </w:tc>
        <w:tc>
          <w:tcPr>
            <w:tcW w:type="dxa" w:w="2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bytedance-seed/seed-2.0-mini</w:t>
            </w:r>
          </w:p>
        </w:tc>
        <w:tc>
          <w:tcPr>
            <w:tcW w:type="dxa" w:w="27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deepseek/deepseek-v4-flash</w:t>
            </w:r>
          </w:p>
        </w:tc>
        <w:tc>
          <w:tcPr>
            <w:tcW w:type="dxa" w:w="2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moonshotai/kimi-k2.6</w:t>
            </w:r>
          </w:p>
        </w:tc>
      </w:tr>
      <w:tr>
        <w:trPr>
          <w:tblHeader w:val="false"/>
        </w:trPr>
        <w:tc>
          <w:tcPr>
            <w:tcW w:type="dxa" w:w="12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Serving provider (pinned)</w:t>
            </w:r>
          </w:p>
        </w:tc>
        <w:tc>
          <w:tcPr>
            <w:tcW w:type="dxa" w:w="2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Seed (ByteDance)</w:t>
            </w:r>
          </w:p>
        </w:tc>
        <w:tc>
          <w:tcPr>
            <w:tcW w:type="dxa" w:w="27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SiliconFlow</w:t>
            </w:r>
          </w:p>
        </w:tc>
        <w:tc>
          <w:tcPr>
            <w:tcW w:type="dxa" w:w="2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Moonshot AI</w:t>
            </w:r>
          </w:p>
        </w:tc>
      </w:tr>
      <w:tr>
        <w:trPr>
          <w:tblHeader w:val="false"/>
        </w:trPr>
        <w:tc>
          <w:tcPr>
            <w:tcW w:type="dxa" w:w="12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Temperature</w:t>
            </w:r>
          </w:p>
        </w:tc>
        <w:tc>
          <w:tcPr>
            <w:tcW w:type="dxa" w:w="2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0.7</w:t>
            </w:r>
          </w:p>
        </w:tc>
        <w:tc>
          <w:tcPr>
            <w:tcW w:type="dxa" w:w="27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0.7</w:t>
            </w:r>
          </w:p>
        </w:tc>
        <w:tc>
          <w:tcPr>
            <w:tcW w:type="dxa" w:w="2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0.7</w:t>
            </w:r>
          </w:p>
        </w:tc>
      </w:tr>
      <w:tr>
        <w:trPr>
          <w:tblHeader w:val="false"/>
        </w:trPr>
        <w:tc>
          <w:tcPr>
            <w:tcW w:type="dxa" w:w="126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Reasoning</w:t>
            </w:r>
          </w:p>
        </w:tc>
        <w:tc>
          <w:tcPr>
            <w:tcW w:type="dxa" w:w="2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Disabled</w:t>
            </w:r>
          </w:p>
        </w:tc>
        <w:tc>
          <w:tcPr>
            <w:tcW w:type="dxa" w:w="271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Disabled</w:t>
            </w:r>
          </w:p>
        </w:tc>
        <w:tc>
          <w:tcPr>
            <w:tcW w:type="dxa" w:w="213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Disabled</w:t>
            </w:r>
          </w:p>
        </w:tc>
      </w:tr>
      <w:tr>
        <w:trPr>
          <w:tblHeader w:val="false"/>
        </w:trPr>
        <w:tc>
          <w:tcPr>
            <w:tcW w:type="dxa" w:w="126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Output</w:t>
            </w:r>
          </w:p>
        </w:tc>
        <w:tc>
          <w:tcPr>
            <w:tcW w:type="dxa" w:w="29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JSON mode, up to 2,500 tokens</w:t>
            </w:r>
          </w:p>
        </w:tc>
        <w:tc>
          <w:tcPr>
            <w:tcW w:type="dxa" w:w="271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Same</w:t>
            </w:r>
          </w:p>
        </w:tc>
        <w:tc>
          <w:tcPr>
            <w:tcW w:type="dxa" w:w="21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Same</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Access through OpenRouter (https://openrouter.ai/api/v1) on 23 October 2026; settings in config/experiment_config.json. The serving provider and returned model identifier are logged for every call.</w:t>
      </w:r>
    </w:p>
    <w:p>
      <w:pPr>
        <w:pStyle w:val="Heading2"/>
        <w:keepNext/>
        <w:spacing w:after="120" w:before="200" w:line="276" w:lineRule="auto"/>
      </w:pPr>
      <w:r>
        <w:rPr>
          <w:rFonts w:ascii="Times New Roman" w:cs="Times New Roman" w:eastAsia="SimSun" w:hAnsi="Times New Roman"/>
          <w:b/>
          <w:bCs/>
          <w:sz w:val="24"/>
          <w:szCs w:val="24"/>
        </w:rPr>
        <w:t xml:space="preserve">7.3 Execution, coding and historical check</w:t>
      </w:r>
    </w:p>
    <w:p>
      <w:pPr>
        <w:spacing w:after="120" w:line="276" w:lineRule="auto"/>
        <w:ind w:firstLine="567"/>
        <w:jc w:val="both"/>
      </w:pPr>
      <w:r>
        <w:rPr>
          <w:rFonts w:ascii="Times New Roman" w:cs="Times New Roman" w:eastAsia="SimSun" w:hAnsi="Times New Roman"/>
        </w:rPr>
        <w:t xml:space="preserve">The 2,508 calls ran in one random order. Each call is appended to a log as soon as it finishes, with the model requested and returned, request parameters, SHA-256 hashes of both messages, the raw reply, token usage and timestamps; logs are never edited and the prompts were frozen after the pilot. The providers reported 3.72 million prompt and 1.46 million completion tokens for all 2,588 logged calls, costing USD 3.13 in total.</w:t>
      </w:r>
    </w:p>
    <w:p>
      <w:pPr>
        <w:spacing w:after="120" w:line="276" w:lineRule="auto"/>
        <w:ind w:firstLine="567"/>
        <w:jc w:val="both"/>
      </w:pPr>
      <w:r>
        <w:rPr>
          <w:rFonts w:ascii="Times New Roman" w:cs="Times New Roman" w:eastAsia="SimSun" w:hAnsi="Times New Roman"/>
        </w:rPr>
        <w:t xml:space="preserve">A deterministic script codes each reply, recording whether the JSON parsed directly or only after light repair; off-menu codes are dropped from the risk measures and the remaining weights rescaled, and nothing is imputed (Appendix E). Each portfolio is then back-tested with monthly rebalancing on adjusted net asset values over the longest window of complete months, up to 60, that ends in September 2026 and is covered for every fund. Its worst rolling 12-month return is compared with the maximum one-year loss the investor accepts: none, 5%, 15%, 25% and 40% for C1 to C5. These are historical, descriptive measures, not forecasts.</w:t>
      </w:r>
    </w:p>
    <w:p>
      <w:pPr>
        <w:pStyle w:val="Heading1"/>
        <w:keepNext/>
        <w:spacing w:after="160" w:before="240" w:line="276" w:lineRule="auto"/>
        <w:jc w:val="center"/>
      </w:pPr>
      <w:r>
        <w:rPr>
          <w:rFonts w:ascii="Times New Roman" w:cs="Times New Roman" w:eastAsia="SimSun" w:hAnsi="Times New Roman"/>
          <w:b/>
          <w:bCs/>
          <w:sz w:val="24"/>
          <w:szCs w:val="24"/>
        </w:rPr>
        <w:t xml:space="preserve">8. Evaluation Metrics and Statistical Methods</w:t>
      </w:r>
    </w:p>
    <w:p>
      <w:pPr>
        <w:pStyle w:val="Heading2"/>
        <w:keepNext/>
        <w:spacing w:after="120" w:before="200" w:line="276" w:lineRule="auto"/>
      </w:pPr>
      <w:r>
        <w:rPr>
          <w:rFonts w:ascii="Times New Roman" w:cs="Times New Roman" w:eastAsia="SimSun" w:hAnsi="Times New Roman"/>
          <w:b/>
          <w:bCs/>
          <w:sz w:val="24"/>
          <w:szCs w:val="24"/>
        </w:rPr>
        <w:t xml:space="preserve">8.1 Metrics</w:t>
      </w:r>
    </w:p>
    <w:p>
      <w:pPr>
        <w:spacing w:after="120" w:line="276" w:lineRule="auto"/>
        <w:ind w:firstLine="567"/>
        <w:jc w:val="both"/>
      </w:pPr>
      <w:r>
        <w:rPr>
          <w:rFonts w:ascii="Times New Roman" w:cs="Times New Roman" w:eastAsia="SimSun" w:hAnsi="Times New Roman"/>
        </w:rPr>
        <w:t xml:space="preserve">Table 6 defines the outcomes. Equity exposure is the main continuous outcome because suitability rules and life-cycle theory speak to it most directly. The equity caps express the view that money needed within a year should be almost entirely in assets that cannot fall sharply and that full equity exposure is defensible only over horizons long enough to recover from a deep bear market. Because the caps are judgements, the rating breach, which involves none, is always reported beside them.</w:t>
      </w:r>
    </w:p>
    <w:p>
      <w:pPr>
        <w:keepNext/>
        <w:spacing w:after="0" w:before="200" w:line="276" w:lineRule="auto"/>
        <w:jc w:val="left"/>
      </w:pPr>
      <w:r>
        <w:rPr>
          <w:rFonts w:ascii="Times New Roman" w:cs="Times New Roman" w:eastAsia="SimSun" w:hAnsi="Times New Roman"/>
          <w:b/>
          <w:bCs/>
        </w:rPr>
        <w:t xml:space="preserve">Table 6</w:t>
      </w:r>
    </w:p>
    <w:p>
      <w:pPr>
        <w:keepNext/>
        <w:spacing w:after="80" w:before="0" w:line="276" w:lineRule="auto"/>
        <w:jc w:val="left"/>
      </w:pPr>
      <w:r>
        <w:rPr>
          <w:rFonts w:ascii="Times New Roman" w:cs="Times New Roman" w:eastAsia="SimSun" w:hAnsi="Times New Roman"/>
          <w:i/>
          <w:iCs/>
        </w:rPr>
        <w:t xml:space="preserve">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1"/>
        <w:gridCol w:w="5315"/>
      </w:tblGrid>
      <w:tr>
        <w:trPr>
          <w:tblHeader/>
        </w:trPr>
        <w:tc>
          <w:tcPr>
            <w:tcW w:type="dxa" w:w="37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Metric</w:t>
            </w:r>
          </w:p>
        </w:tc>
        <w:tc>
          <w:tcPr>
            <w:tcW w:type="dxa" w:w="531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Calculation</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Feasibility</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Valid JSON with an on-menu fund; off-menu codes; weights summing to 100 within 1 point</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exposure (%)</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Sum of weight x fund equity exposure (main outcome)</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Weighted product risk (1-5)</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Sum of weight x rating</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Rating breach</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Any fund rated above the investor's ceiling; weight of such funds</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over cap</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Equity more than 5 points above min(risk cap, horizon cap)</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Holding-period breach</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 fund's lock-up exceeds the horizon</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Loss-tolerance breach</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Worst historical 12-month return below minus the stated maximum loss</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Conflict handling</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Conflict vocabulary; conflicts listed (SUIT)</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Classification (SUIT)</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Assessed vs actual class; weighted kappa</w:t>
            </w:r>
          </w:p>
        </w:tc>
      </w:tr>
      <w:tr>
        <w:trPr>
          <w:tblHeader w:val="false"/>
        </w:trPr>
        <w:tc>
          <w:tcPr>
            <w:tcW w:type="dxa" w:w="37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Reliability</w:t>
            </w:r>
          </w:p>
        </w:tc>
        <w:tc>
          <w:tcPr>
            <w:tcW w:type="dxa" w:w="53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ICC(1,1) of equity over three replicates; Jaccard similarity of fund sets</w:t>
            </w:r>
          </w:p>
        </w:tc>
      </w:tr>
      <w:tr>
        <w:trPr>
          <w:tblHeader w:val="false"/>
        </w:trPr>
        <w:tc>
          <w:tcPr>
            <w:tcW w:type="dxa" w:w="37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Probe slope</w:t>
            </w:r>
          </w:p>
        </w:tc>
        <w:tc>
          <w:tcPr>
            <w:tcW w:type="dxa" w:w="531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Change in equity per one-level step of one attribute</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Equity caps are 0, 20, 50, 80 and 100% for C1-C5 and 10, 30, 50, 80 and 100% for H1-H5; they are the researchers' operationalisation, not regulatory limits. QDII share is also recorded.</w:t>
      </w:r>
    </w:p>
    <w:p>
      <w:pPr>
        <w:pStyle w:val="Heading2"/>
        <w:keepNext/>
        <w:spacing w:after="120" w:before="200" w:line="276" w:lineRule="auto"/>
      </w:pPr>
      <w:r>
        <w:rPr>
          <w:rFonts w:ascii="Times New Roman" w:cs="Times New Roman" w:eastAsia="SimSun" w:hAnsi="Times New Roman"/>
          <w:b/>
          <w:bCs/>
          <w:sz w:val="24"/>
          <w:szCs w:val="24"/>
        </w:rPr>
        <w:t xml:space="preserve">8.2 Statistical methods</w:t>
      </w:r>
    </w:p>
    <w:p>
      <w:pPr>
        <w:spacing w:after="120" w:line="276" w:lineRule="auto"/>
        <w:ind w:firstLine="567"/>
        <w:jc w:val="both"/>
      </w:pPr>
      <w:r>
        <w:rPr>
          <w:rFonts w:ascii="Times New Roman" w:cs="Times New Roman" w:eastAsia="SimSun" w:hAnsi="Times New Roman"/>
        </w:rPr>
        <w:t xml:space="preserve">The attributes are orthogonal and balanced, so their effects can be estimated without confounding; conditions and models vary within investors, so their comparisons are paired (Table 7). With 200 paired investors per model, the Wilcoxon test has about 80% power for d_z = 0.2, so effect sizes lead the interpretation. Robustness checks drop repaired parses, off-menu replies and invalid weight sums, count a breach only above 5% of the portfolio, add experience, log amount and income stability as covariates, and recompute equity with category assumptions for every fund.</w:t>
      </w:r>
    </w:p>
    <w:p>
      <w:pPr>
        <w:keepNext/>
        <w:spacing w:after="0" w:before="200" w:line="276" w:lineRule="auto"/>
        <w:jc w:val="left"/>
      </w:pPr>
      <w:r>
        <w:rPr>
          <w:rFonts w:ascii="Times New Roman" w:cs="Times New Roman" w:eastAsia="SimSun" w:hAnsi="Times New Roman"/>
          <w:b/>
          <w:bCs/>
        </w:rPr>
        <w:t xml:space="preserve">Table 7</w:t>
      </w:r>
    </w:p>
    <w:p>
      <w:pPr>
        <w:keepNext/>
        <w:spacing w:after="80" w:before="0" w:line="276" w:lineRule="auto"/>
        <w:jc w:val="left"/>
      </w:pPr>
      <w:r>
        <w:rPr>
          <w:rFonts w:ascii="Times New Roman" w:cs="Times New Roman" w:eastAsia="SimSun" w:hAnsi="Times New Roman"/>
          <w:i/>
          <w:iCs/>
        </w:rPr>
        <w:t xml:space="preserve">Statistical methods by research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5"/>
        <w:gridCol w:w="4215"/>
        <w:gridCol w:w="3296"/>
      </w:tblGrid>
      <w:tr>
        <w:trPr>
          <w:tblHeader/>
        </w:trPr>
        <w:tc>
          <w:tcPr>
            <w:tcW w:type="dxa" w:w="151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Question</w:t>
            </w:r>
          </w:p>
        </w:tc>
        <w:tc>
          <w:tcPr>
            <w:tcW w:type="dxa" w:w="421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Method</w:t>
            </w:r>
          </w:p>
        </w:tc>
        <w:tc>
          <w:tcPr>
            <w:tcW w:type="dxa" w:w="32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Effect size</w:t>
            </w:r>
          </w:p>
        </w:tc>
      </w:tr>
      <w:tr>
        <w:trPr>
          <w:tblHeader w:val="false"/>
        </w:trPr>
        <w:tc>
          <w:tcPr>
            <w:tcW w:type="dxa" w:w="15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RQ1</w:t>
            </w:r>
          </w:p>
        </w:tc>
        <w:tc>
          <w:tcPr>
            <w:tcW w:type="dxa" w:w="42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Spearman correlations per model x condition; Type II ANOVA of equity on the three attributes; pooled OLS with attribute x condition terms, model fixed effects and investor-clustered errors</w:t>
            </w:r>
          </w:p>
        </w:tc>
        <w:tc>
          <w:tcPr>
            <w:tcW w:type="dxa" w:w="3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rho; partial eta squared; points per category step</w:t>
            </w:r>
          </w:p>
        </w:tc>
      </w:tr>
      <w:tr>
        <w:trPr>
          <w:tblHeader w:val="false"/>
        </w:trPr>
        <w:tc>
          <w:tcPr>
            <w:tcW w:type="dxa" w:w="15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RQ2</w:t>
            </w:r>
          </w:p>
        </w:tc>
        <w:tc>
          <w:tcPr>
            <w:tcW w:type="dxa" w:w="42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Breach rates by model, condition and risk class; conflict vs non-conflict profiles</w:t>
            </w:r>
          </w:p>
        </w:tc>
        <w:tc>
          <w:tcPr>
            <w:tcW w:type="dxa" w:w="3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Percentages</w:t>
            </w:r>
          </w:p>
        </w:tc>
      </w:tr>
      <w:tr>
        <w:trPr>
          <w:tblHeader w:val="false"/>
        </w:trPr>
        <w:tc>
          <w:tcPr>
            <w:tcW w:type="dxa" w:w="15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RQ3</w:t>
            </w:r>
          </w:p>
        </w:tc>
        <w:tc>
          <w:tcPr>
            <w:tcW w:type="dxa" w:w="42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Within-investor BASE vs SUIT: McNemar (exact below 25 discordant pairs); Wilcoxon signed-rank</w:t>
            </w:r>
          </w:p>
        </w:tc>
        <w:tc>
          <w:tcPr>
            <w:tcW w:type="dxa" w:w="3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Discordant pairs; rank-biserial r; d_z</w:t>
            </w:r>
          </w:p>
        </w:tc>
      </w:tr>
      <w:tr>
        <w:trPr>
          <w:tblHeader w:val="false"/>
        </w:trPr>
        <w:tc>
          <w:tcPr>
            <w:tcW w:type="dxa" w:w="15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RQ4</w:t>
            </w:r>
          </w:p>
        </w:tc>
        <w:tc>
          <w:tcPr>
            <w:tcW w:type="dxa" w:w="421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ICC(1,1); within-investor SD; Jaccard; slopes within probe anchors</w:t>
            </w:r>
          </w:p>
        </w:tc>
        <w:tc>
          <w:tcPr>
            <w:tcW w:type="dxa" w:w="32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 with 95% CI (Koo &amp; Li, 2016)</w:t>
            </w:r>
          </w:p>
        </w:tc>
      </w:tr>
      <w:tr>
        <w:trPr>
          <w:tblHeader w:val="false"/>
        </w:trPr>
        <w:tc>
          <w:tcPr>
            <w:tcW w:type="dxa" w:w="151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RQ5</w:t>
            </w:r>
          </w:p>
        </w:tc>
        <w:tc>
          <w:tcPr>
            <w:tcW w:type="dxa" w:w="421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Friedman test paired by investor; pairwise Wilcoxon; Cochran's Q</w:t>
            </w:r>
          </w:p>
        </w:tc>
        <w:tc>
          <w:tcPr>
            <w:tcW w:type="dxa" w:w="32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Kendall's W; rank-biserial r</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p-values are two-sided and Holm-adjusted within each set of tests (Holm, 1979). Interpretation rests on effect sizes, not significance alone (Cohen, 1988).</w:t>
      </w:r>
    </w:p>
    <w:p>
      <w:pPr>
        <w:pStyle w:val="Heading1"/>
        <w:keepNext/>
        <w:spacing w:after="160" w:before="240" w:line="276" w:lineRule="auto"/>
        <w:jc w:val="center"/>
      </w:pPr>
      <w:r>
        <w:rPr>
          <w:rFonts w:ascii="Times New Roman" w:cs="Times New Roman" w:eastAsia="SimSun" w:hAnsi="Times New Roman"/>
          <w:b/>
          <w:bCs/>
          <w:sz w:val="24"/>
          <w:szCs w:val="24"/>
        </w:rPr>
        <w:t xml:space="preserve">9. Experimental Results</w:t>
      </w:r>
    </w:p>
    <w:p>
      <w:pPr>
        <w:spacing w:after="120" w:line="276" w:lineRule="auto"/>
        <w:ind w:firstLine="567"/>
        <w:jc w:val="both"/>
      </w:pPr>
      <w:r>
        <w:rPr>
          <w:rFonts w:ascii="Times New Roman" w:cs="Times New Roman" w:eastAsia="SimSun" w:hAnsi="Times New Roman"/>
        </w:rPr>
        <w:t xml:space="preserve">All 2,508 planned calls succeeded on 23 October 2026. Every number below comes from tables written by the analysis scripts (references such as T10 denote files in outputs/tables) and refers to the main sample unless stated.</w:t>
      </w:r>
    </w:p>
    <w:p>
      <w:pPr>
        <w:pStyle w:val="Heading2"/>
        <w:keepNext/>
        <w:spacing w:after="120" w:before="200" w:line="276" w:lineRule="auto"/>
      </w:pPr>
      <w:r>
        <w:rPr>
          <w:rFonts w:ascii="Times New Roman" w:cs="Times New Roman" w:eastAsia="SimSun" w:hAnsi="Times New Roman"/>
          <w:b/>
          <w:bCs/>
          <w:sz w:val="24"/>
          <w:szCs w:val="24"/>
        </w:rPr>
        <w:t xml:space="preserve">9.1 Data quality and feasibility</w:t>
      </w:r>
    </w:p>
    <w:p>
      <w:pPr>
        <w:spacing w:after="120" w:line="276" w:lineRule="auto"/>
        <w:ind w:firstLine="567"/>
        <w:jc w:val="both"/>
      </w:pPr>
      <w:r>
        <w:rPr>
          <w:rFonts w:ascii="Times New Roman" w:cs="Times New Roman" w:eastAsia="SimSun" w:hAnsi="Times New Roman"/>
        </w:rPr>
        <w:t xml:space="preserve">The models almost always produced executable advice. Of 2,568 coded replies, including the pilot, three Doubao replies were malformed JSON and two DeepSeek replies each named one off-menu fund, leaving 1,199 codable main-sample replies, all with weights summing to 100 (T04). DeepSeek alone deviated from the format, naming only one or two funds in 51 main-sample replies. Kimi built the most diversified portfolios (5.2-5.7 funds on average, against 4.2-4.6) and recommended dollar-cost averaging most often (61-69% of replies, against 20-28% for Doubao).</w:t>
      </w:r>
    </w:p>
    <w:p>
      <w:pPr>
        <w:pStyle w:val="Heading2"/>
        <w:keepNext/>
        <w:spacing w:after="120" w:before="200" w:line="276" w:lineRule="auto"/>
      </w:pPr>
      <w:r>
        <w:rPr>
          <w:rFonts w:ascii="Times New Roman" w:cs="Times New Roman" w:eastAsia="SimSun" w:hAnsi="Times New Roman"/>
          <w:b/>
          <w:bCs/>
          <w:sz w:val="24"/>
          <w:szCs w:val="24"/>
        </w:rPr>
        <w:t xml:space="preserve">9.2 Responsiveness to risk tolerance, horizon and age (RQ1)</w:t>
      </w:r>
    </w:p>
    <w:p>
      <w:pPr>
        <w:spacing w:after="120" w:line="276" w:lineRule="auto"/>
        <w:ind w:firstLine="567"/>
        <w:jc w:val="both"/>
      </w:pPr>
      <w:r>
        <w:rPr>
          <w:rFonts w:ascii="Times New Roman" w:cs="Times New Roman" w:eastAsia="SimSun" w:hAnsi="Times New Roman"/>
        </w:rPr>
        <w:t xml:space="preserve">Equity exposure followed risk tolerance closely (Figure 2). Under BASE, mean equity rose from 0.1-0.8% for C1 investors to 62.5-72.9% for C5 investors, and under SUIT from 0% to 53.2-64.1%, with rho = 0.69-0.83 and partial eta squared 0.66-0.83 (Table 8, Figure 5). Horizon mattered mainly at one point (Figure 3): investors who needed their money within a year received almost no equity (BASE means 0.9-7.0%), those with one to three years 26.3-34.2%, and those with ten years or more only 42.0-44.5%. Age barely mattered (Figure 4); its correlation with equity was negative in every cell but small (-0.04 to -0.11) and never significant after Holm adjustment.</w:t>
      </w:r>
    </w:p>
    <w:p>
      <w:pPr>
        <w:keepNext/>
        <w:spacing w:after="0" w:before="200" w:line="276" w:lineRule="auto"/>
        <w:jc w:val="left"/>
      </w:pPr>
      <w:r>
        <w:rPr>
          <w:rFonts w:ascii="Times New Roman" w:cs="Times New Roman" w:eastAsia="SimSun" w:hAnsi="Times New Roman"/>
          <w:b/>
          <w:bCs/>
        </w:rPr>
        <w:t xml:space="preserve">Table 8</w:t>
      </w:r>
    </w:p>
    <w:p>
      <w:pPr>
        <w:keepNext/>
        <w:spacing w:after="80" w:before="0" w:line="276" w:lineRule="auto"/>
        <w:jc w:val="left"/>
      </w:pPr>
      <w:r>
        <w:rPr>
          <w:rFonts w:ascii="Times New Roman" w:cs="Times New Roman" w:eastAsia="SimSun" w:hAnsi="Times New Roman"/>
          <w:i/>
          <w:iCs/>
        </w:rPr>
        <w:t xml:space="preserve">Responsiveness of equity exposure to the three investor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3"/>
        <w:gridCol w:w="1310"/>
        <w:gridCol w:w="777"/>
        <w:gridCol w:w="1127"/>
        <w:gridCol w:w="869"/>
        <w:gridCol w:w="1241"/>
        <w:gridCol w:w="1279"/>
        <w:gridCol w:w="1230"/>
      </w:tblGrid>
      <w:tr>
        <w:trPr>
          <w:tblHeader/>
        </w:trPr>
        <w:tc>
          <w:tcPr>
            <w:tcW w:type="dxa" w:w="119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Model</w:t>
            </w:r>
          </w:p>
        </w:tc>
        <w:tc>
          <w:tcPr>
            <w:tcW w:type="dxa" w:w="13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Condition</w:t>
            </w:r>
          </w:p>
        </w:tc>
        <w:tc>
          <w:tcPr>
            <w:tcW w:type="dxa" w:w="77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rho risk</w:t>
            </w:r>
          </w:p>
        </w:tc>
        <w:tc>
          <w:tcPr>
            <w:tcW w:type="dxa" w:w="112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rho horizon</w:t>
            </w:r>
          </w:p>
        </w:tc>
        <w:tc>
          <w:tcPr>
            <w:tcW w:type="dxa" w:w="8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rho age</w:t>
            </w:r>
          </w:p>
        </w:tc>
        <w:tc>
          <w:tcPr>
            <w:tcW w:type="dxa" w:w="124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Partial eta sq. risk</w:t>
            </w:r>
          </w:p>
        </w:tc>
        <w:tc>
          <w:tcPr>
            <w:tcW w:type="dxa" w:w="127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Partial eta sq. horizon</w:t>
            </w:r>
          </w:p>
        </w:tc>
        <w:tc>
          <w:tcPr>
            <w:tcW w:type="dxa" w:w="12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6"/>
                <w:szCs w:val="16"/>
              </w:rPr>
              <w:t xml:space="preserve">Partial eta sq. age</w:t>
            </w:r>
          </w:p>
        </w:tc>
      </w:tr>
      <w:tr>
        <w:trPr>
          <w:tblHeader w:val="false"/>
        </w:trPr>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DeepSeek</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BASE</w:t>
            </w:r>
          </w:p>
        </w:tc>
        <w:tc>
          <w:tcPr>
            <w:tcW w:type="dxa" w:w="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0.76</w:t>
            </w:r>
          </w:p>
        </w:tc>
        <w:tc>
          <w:tcPr>
            <w:tcW w:type="dxa" w:w="1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0.43</w:t>
            </w:r>
          </w:p>
        </w:tc>
        <w:tc>
          <w:tcPr>
            <w:tcW w:type="dxa" w:w="86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-0.06</w:t>
            </w:r>
          </w:p>
        </w:tc>
        <w:tc>
          <w:tcPr>
            <w:tcW w:type="dxa" w:w="1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0.79</w:t>
            </w:r>
          </w:p>
        </w:tc>
        <w:tc>
          <w:tcPr>
            <w:tcW w:type="dxa" w:w="12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0.53</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0.04</w:t>
            </w:r>
          </w:p>
        </w:tc>
      </w:tr>
      <w:tr>
        <w:trPr>
          <w:tblHeader w:val="false"/>
        </w:trPr>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DeepSeek</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SUIT</w:t>
            </w:r>
          </w:p>
        </w:tc>
        <w:tc>
          <w:tcPr>
            <w:tcW w:type="dxa" w:w="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0.69</w:t>
            </w:r>
          </w:p>
        </w:tc>
        <w:tc>
          <w:tcPr>
            <w:tcW w:type="dxa" w:w="1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0.50</w:t>
            </w:r>
          </w:p>
        </w:tc>
        <w:tc>
          <w:tcPr>
            <w:tcW w:type="dxa" w:w="86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-0.05</w:t>
            </w:r>
          </w:p>
        </w:tc>
        <w:tc>
          <w:tcPr>
            <w:tcW w:type="dxa" w:w="1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0.71</w:t>
            </w:r>
          </w:p>
        </w:tc>
        <w:tc>
          <w:tcPr>
            <w:tcW w:type="dxa" w:w="12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0.50</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0.04</w:t>
            </w:r>
          </w:p>
        </w:tc>
      </w:tr>
      <w:tr>
        <w:trPr>
          <w:tblHeader w:val="false"/>
        </w:trPr>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Doubao</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BASE</w:t>
            </w:r>
          </w:p>
        </w:tc>
        <w:tc>
          <w:tcPr>
            <w:tcW w:type="dxa" w:w="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0.83</w:t>
            </w:r>
          </w:p>
        </w:tc>
        <w:tc>
          <w:tcPr>
            <w:tcW w:type="dxa" w:w="1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0.38</w:t>
            </w:r>
          </w:p>
        </w:tc>
        <w:tc>
          <w:tcPr>
            <w:tcW w:type="dxa" w:w="86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-0.11</w:t>
            </w:r>
          </w:p>
        </w:tc>
        <w:tc>
          <w:tcPr>
            <w:tcW w:type="dxa" w:w="1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0.83</w:t>
            </w:r>
          </w:p>
        </w:tc>
        <w:tc>
          <w:tcPr>
            <w:tcW w:type="dxa" w:w="12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0.50</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0.08</w:t>
            </w:r>
          </w:p>
        </w:tc>
      </w:tr>
      <w:tr>
        <w:trPr>
          <w:tblHeader w:val="false"/>
        </w:trPr>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Doubao</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SUIT</w:t>
            </w:r>
          </w:p>
        </w:tc>
        <w:tc>
          <w:tcPr>
            <w:tcW w:type="dxa" w:w="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0.83</w:t>
            </w:r>
          </w:p>
        </w:tc>
        <w:tc>
          <w:tcPr>
            <w:tcW w:type="dxa" w:w="1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0.33</w:t>
            </w:r>
          </w:p>
        </w:tc>
        <w:tc>
          <w:tcPr>
            <w:tcW w:type="dxa" w:w="86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-0.09</w:t>
            </w:r>
          </w:p>
        </w:tc>
        <w:tc>
          <w:tcPr>
            <w:tcW w:type="dxa" w:w="1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0.78</w:t>
            </w:r>
          </w:p>
        </w:tc>
        <w:tc>
          <w:tcPr>
            <w:tcW w:type="dxa" w:w="12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0.41</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0.08</w:t>
            </w:r>
          </w:p>
        </w:tc>
      </w:tr>
      <w:tr>
        <w:trPr>
          <w:tblHeader w:val="false"/>
        </w:trPr>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Kimi</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BASE</w:t>
            </w:r>
          </w:p>
        </w:tc>
        <w:tc>
          <w:tcPr>
            <w:tcW w:type="dxa" w:w="7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0.73</w:t>
            </w:r>
          </w:p>
        </w:tc>
        <w:tc>
          <w:tcPr>
            <w:tcW w:type="dxa" w:w="1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0.48</w:t>
            </w:r>
          </w:p>
        </w:tc>
        <w:tc>
          <w:tcPr>
            <w:tcW w:type="dxa" w:w="86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-0.04</w:t>
            </w:r>
          </w:p>
        </w:tc>
        <w:tc>
          <w:tcPr>
            <w:tcW w:type="dxa" w:w="1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0.76</w:t>
            </w:r>
          </w:p>
        </w:tc>
        <w:tc>
          <w:tcPr>
            <w:tcW w:type="dxa" w:w="12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0.52</w:t>
            </w:r>
          </w:p>
        </w:tc>
        <w:tc>
          <w:tcPr>
            <w:tcW w:type="dxa" w:w="12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0.03</w:t>
            </w:r>
          </w:p>
        </w:tc>
      </w:tr>
      <w:tr>
        <w:trPr>
          <w:tblHeader w:val="false"/>
        </w:trPr>
        <w:tc>
          <w:tcPr>
            <w:tcW w:type="dxa" w:w="119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Kimi</w:t>
            </w:r>
          </w:p>
        </w:tc>
        <w:tc>
          <w:tcPr>
            <w:tcW w:type="dxa" w:w="13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SUIT</w:t>
            </w:r>
          </w:p>
        </w:tc>
        <w:tc>
          <w:tcPr>
            <w:tcW w:type="dxa" w:w="77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0.71</w:t>
            </w:r>
          </w:p>
        </w:tc>
        <w:tc>
          <w:tcPr>
            <w:tcW w:type="dxa" w:w="112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0.47</w:t>
            </w:r>
          </w:p>
        </w:tc>
        <w:tc>
          <w:tcPr>
            <w:tcW w:type="dxa" w:w="8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-0.05</w:t>
            </w:r>
          </w:p>
        </w:tc>
        <w:tc>
          <w:tcPr>
            <w:tcW w:type="dxa" w:w="124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0.66</w:t>
            </w:r>
          </w:p>
        </w:tc>
        <w:tc>
          <w:tcPr>
            <w:tcW w:type="dxa" w:w="127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0.46</w:t>
            </w:r>
          </w:p>
        </w:tc>
        <w:tc>
          <w:tcPr>
            <w:tcW w:type="dxa" w:w="12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6"/>
                <w:szCs w:val="16"/>
              </w:rPr>
              <w:t xml:space="preserve">0.02</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Spearman correlations (n = 200; 199 for Doubao SUIT) from T08 and Type II ANOVA from T09. All risk and horizon effects have Holm-adjusted p &lt; 0.001; no age effect has Holm-adjusted p &lt; 0.05.</w:t>
      </w:r>
    </w:p>
    <w:p>
      <w:pPr>
        <w:spacing w:after="120" w:line="276" w:lineRule="auto"/>
        <w:ind w:firstLine="567"/>
        <w:jc w:val="both"/>
      </w:pPr>
      <w:r>
        <w:rPr>
          <w:rFonts w:ascii="Times New Roman" w:cs="Times New Roman" w:eastAsia="SimSun" w:hAnsi="Times New Roman"/>
        </w:rPr>
        <w:t xml:space="preserve">The pooled regression with investor-clustered errors gives 18.2 percentage points more equity per risk-class step (95% CI 16.5 to 19.8), 8.7 per horizon step (7.0 to 10.4) and 1.2 less per age band (-2.1 to -0.3), with R squared 0.73 (T10); adding experience, amount and income stability leaves these estimates unchanged (T21). Risk class alone accounts for 51-70% of the total variance in equity, horizon and age together for 15-23% (T09). QDII shares, 7.2-10.7% on average, rise with risk class and horizon and are unrelated to age (T19).</w:t>
      </w:r>
    </w:p>
    <w:p>
      <w:pPr>
        <w:keepNext/>
        <w:spacing w:after="0" w:before="200" w:line="276" w:lineRule="auto"/>
        <w:jc w:val="left"/>
      </w:pPr>
      <w:r>
        <w:rPr>
          <w:rFonts w:ascii="Times New Roman" w:cs="Times New Roman" w:eastAsia="SimSun" w:hAnsi="Times New Roman"/>
          <w:b/>
          <w:bCs/>
        </w:rPr>
        <w:t xml:space="preserve">Figure 2</w:t>
      </w:r>
    </w:p>
    <w:p>
      <w:pPr>
        <w:keepNext/>
        <w:spacing w:after="80" w:before="0" w:line="276" w:lineRule="auto"/>
        <w:jc w:val="left"/>
      </w:pPr>
      <w:r>
        <w:rPr>
          <w:rFonts w:ascii="Times New Roman" w:cs="Times New Roman" w:eastAsia="SimSun" w:hAnsi="Times New Roman"/>
          <w:i/>
          <w:iCs/>
        </w:rPr>
        <w:t xml:space="preserve">Mean equity exposure by investor risk class</w:t>
      </w:r>
    </w:p>
    <w:p>
      <w:pPr>
        <w:keepNext/>
        <w:spacing w:after="60" w:before="60" w:line="240" w:lineRule="auto"/>
        <w:jc w:val="center"/>
      </w:pPr>
      <w:r>
        <w:drawing>
          <wp:inline distT="0" distB="0" distL="0" distR="0">
            <wp:extent cx="5715000" cy="4371975"/>
            <wp:effectExtent t="0" r="0" b="0" l="0"/>
            <wp:docPr id="1" name="Figure 2. Mean equity exposure by investor risk class" descr="Figure 2. Mean equity exposure by investor risk class" title="Figure 2. Mean equity exposure by investor risk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7197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Dotted line: equity ceiling implied by the risk class (0, 20, 50, 80 and 100%). n = 40 per point (39 for Doubao SUIT C5).</w:t>
      </w:r>
    </w:p>
    <w:p>
      <w:pPr>
        <w:keepNext/>
        <w:spacing w:after="0" w:before="200" w:line="276" w:lineRule="auto"/>
        <w:jc w:val="left"/>
      </w:pPr>
      <w:r>
        <w:rPr>
          <w:rFonts w:ascii="Times New Roman" w:cs="Times New Roman" w:eastAsia="SimSun" w:hAnsi="Times New Roman"/>
          <w:b/>
          <w:bCs/>
        </w:rPr>
        <w:t xml:space="preserve">Figure 3</w:t>
      </w:r>
    </w:p>
    <w:p>
      <w:pPr>
        <w:keepNext/>
        <w:spacing w:after="80" w:before="0" w:line="276" w:lineRule="auto"/>
        <w:jc w:val="left"/>
      </w:pPr>
      <w:r>
        <w:rPr>
          <w:rFonts w:ascii="Times New Roman" w:cs="Times New Roman" w:eastAsia="SimSun" w:hAnsi="Times New Roman"/>
          <w:i/>
          <w:iCs/>
        </w:rPr>
        <w:t xml:space="preserve">Mean equity exposure by investment horizon</w:t>
      </w:r>
    </w:p>
    <w:p>
      <w:pPr>
        <w:keepNext/>
        <w:spacing w:after="60" w:before="60" w:line="240" w:lineRule="auto"/>
        <w:jc w:val="center"/>
      </w:pPr>
      <w:r>
        <w:drawing>
          <wp:inline distT="0" distB="0" distL="0" distR="0">
            <wp:extent cx="5715000" cy="4429125"/>
            <wp:effectExtent t="0" r="0" b="0" l="0"/>
            <wp:docPr id="1" name="Figure 3. Mean equity exposure by investment horizon" descr="Figure 3. Mean equity exposure by investment horizon" title="Figure 3. Mean equity exposure by investment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2912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n = 40 per point (39 for Doubao SUIT H4).</w:t>
      </w:r>
    </w:p>
    <w:p>
      <w:pPr>
        <w:keepNext/>
        <w:spacing w:after="0" w:before="200" w:line="276" w:lineRule="auto"/>
        <w:jc w:val="left"/>
      </w:pPr>
      <w:r>
        <w:rPr>
          <w:rFonts w:ascii="Times New Roman" w:cs="Times New Roman" w:eastAsia="SimSun" w:hAnsi="Times New Roman"/>
          <w:b/>
          <w:bCs/>
        </w:rPr>
        <w:t xml:space="preserve">Figure 4</w:t>
      </w:r>
    </w:p>
    <w:p>
      <w:pPr>
        <w:keepNext/>
        <w:spacing w:after="80" w:before="0" w:line="276" w:lineRule="auto"/>
        <w:jc w:val="left"/>
      </w:pPr>
      <w:r>
        <w:rPr>
          <w:rFonts w:ascii="Times New Roman" w:cs="Times New Roman" w:eastAsia="SimSun" w:hAnsi="Times New Roman"/>
          <w:i/>
          <w:iCs/>
        </w:rPr>
        <w:t xml:space="preserve">Mean equity exposure by age band</w:t>
      </w:r>
    </w:p>
    <w:p>
      <w:pPr>
        <w:keepNext/>
        <w:spacing w:after="60" w:before="60" w:line="240" w:lineRule="auto"/>
        <w:jc w:val="center"/>
      </w:pPr>
      <w:r>
        <w:drawing>
          <wp:inline distT="0" distB="0" distL="0" distR="0">
            <wp:extent cx="5715000" cy="4448175"/>
            <wp:effectExtent t="0" r="0" b="0" l="0"/>
            <wp:docPr id="1" name="Figure 4. Mean equity exposure by age band" descr="Figure 4. Mean equity exposure by age band" title="Figure 4. Mean equity exposure by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4817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n = 25 per point (24 for Doubao SUIT A2).</w:t>
      </w:r>
    </w:p>
    <w:p>
      <w:pPr>
        <w:keepNext/>
        <w:spacing w:after="0" w:before="200" w:line="276" w:lineRule="auto"/>
        <w:jc w:val="left"/>
      </w:pPr>
      <w:r>
        <w:rPr>
          <w:rFonts w:ascii="Times New Roman" w:cs="Times New Roman" w:eastAsia="SimSun" w:hAnsi="Times New Roman"/>
          <w:b/>
          <w:bCs/>
        </w:rPr>
        <w:t xml:space="preserve">Figure 5</w:t>
      </w:r>
    </w:p>
    <w:p>
      <w:pPr>
        <w:keepNext/>
        <w:spacing w:after="80" w:before="0" w:line="276" w:lineRule="auto"/>
        <w:jc w:val="left"/>
      </w:pPr>
      <w:r>
        <w:rPr>
          <w:rFonts w:ascii="Times New Roman" w:cs="Times New Roman" w:eastAsia="SimSun" w:hAnsi="Times New Roman"/>
          <w:i/>
          <w:iCs/>
        </w:rPr>
        <w:t xml:space="preserve">Relative importance of the three attributes</w:t>
      </w:r>
    </w:p>
    <w:p>
      <w:pPr>
        <w:keepNext/>
        <w:spacing w:after="60" w:before="60" w:line="240" w:lineRule="auto"/>
        <w:jc w:val="center"/>
      </w:pPr>
      <w:r>
        <w:drawing>
          <wp:inline distT="0" distB="0" distL="0" distR="0">
            <wp:extent cx="5715000" cy="3057525"/>
            <wp:effectExtent t="0" r="0" b="0" l="0"/>
            <wp:docPr id="1" name="Figure 5. Relative importance of the three attributes" descr="Figure 5. Relative importance of the three attributes" title="Figure 5. Relative importance of the three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5752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Partial eta squared from a Type II ANOVA of equity exposure on risk class, horizon band and age band, per model and condition.</w:t>
      </w:r>
    </w:p>
    <w:p>
      <w:pPr>
        <w:pStyle w:val="Heading2"/>
        <w:keepNext/>
        <w:spacing w:after="120" w:before="200" w:line="276" w:lineRule="auto"/>
      </w:pPr>
      <w:r>
        <w:rPr>
          <w:rFonts w:ascii="Times New Roman" w:cs="Times New Roman" w:eastAsia="SimSun" w:hAnsi="Times New Roman"/>
          <w:b/>
          <w:bCs/>
          <w:sz w:val="24"/>
          <w:szCs w:val="24"/>
        </w:rPr>
        <w:t xml:space="preserve">9.3 Suitability breaches (RQ2)</w:t>
      </w:r>
    </w:p>
    <w:p>
      <w:pPr>
        <w:spacing w:after="120" w:line="276" w:lineRule="auto"/>
        <w:ind w:firstLine="567"/>
        <w:jc w:val="both"/>
      </w:pPr>
      <w:r>
        <w:rPr>
          <w:rFonts w:ascii="Times New Roman" w:cs="Times New Roman" w:eastAsia="SimSun" w:hAnsi="Times New Roman"/>
        </w:rPr>
        <w:t xml:space="preserve">Under BASE, about half of all recommendations contained a fund rated above the investor's permitted level (Table 9); since no menu fund is rated R5, only C1-C3 investors can breach the rule, and among them the rate was 82.5-85.8% (Figure 6). The breaches were mostly one notch above the ceiling but substantial: 90.5% of breaching replies to C1 investors went no higher than R2, typically bond funds, yet these funds made up 49.8% of the portfolio on average (T23).</w:t>
      </w:r>
    </w:p>
    <w:p>
      <w:pPr>
        <w:keepNext/>
        <w:spacing w:after="0" w:before="200" w:line="276" w:lineRule="auto"/>
        <w:jc w:val="left"/>
      </w:pPr>
      <w:r>
        <w:rPr>
          <w:rFonts w:ascii="Times New Roman" w:cs="Times New Roman" w:eastAsia="SimSun" w:hAnsi="Times New Roman"/>
          <w:b/>
          <w:bCs/>
        </w:rPr>
        <w:t xml:space="preserve">Table 9</w:t>
      </w:r>
    </w:p>
    <w:p>
      <w:pPr>
        <w:keepNext/>
        <w:spacing w:after="80" w:before="0" w:line="276" w:lineRule="auto"/>
        <w:jc w:val="left"/>
      </w:pPr>
      <w:r>
        <w:rPr>
          <w:rFonts w:ascii="Times New Roman" w:cs="Times New Roman" w:eastAsia="SimSun" w:hAnsi="Times New Roman"/>
          <w:i/>
          <w:iCs/>
        </w:rPr>
        <w:t xml:space="preserve">Suitability outcomes by model and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2"/>
        <w:gridCol w:w="1477"/>
        <w:gridCol w:w="666"/>
        <w:gridCol w:w="1480"/>
        <w:gridCol w:w="1517"/>
        <w:gridCol w:w="1309"/>
        <w:gridCol w:w="1235"/>
      </w:tblGrid>
      <w:tr>
        <w:trPr>
          <w:tblHeader/>
        </w:trPr>
        <w:tc>
          <w:tcPr>
            <w:tcW w:type="dxa" w:w="134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Model</w:t>
            </w:r>
          </w:p>
        </w:tc>
        <w:tc>
          <w:tcPr>
            <w:tcW w:type="dxa" w:w="147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Condition</w:t>
            </w:r>
          </w:p>
        </w:tc>
        <w:tc>
          <w:tcPr>
            <w:tcW w:type="dxa" w:w="6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n</w:t>
            </w:r>
          </w:p>
        </w:tc>
        <w:tc>
          <w:tcPr>
            <w:tcW w:type="dxa" w:w="14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Rating breach, all (%)</w:t>
            </w:r>
          </w:p>
        </w:tc>
        <w:tc>
          <w:tcPr>
            <w:tcW w:type="dxa" w:w="151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Rating breach, C1-C3 (%)</w:t>
            </w:r>
          </w:p>
        </w:tc>
        <w:tc>
          <w:tcPr>
            <w:tcW w:type="dxa" w:w="130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Equity over cap (%)</w:t>
            </w:r>
          </w:p>
        </w:tc>
        <w:tc>
          <w:tcPr>
            <w:tcW w:type="dxa" w:w="12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Mean equity (%)</w:t>
            </w:r>
          </w:p>
        </w:tc>
      </w:tr>
      <w:tr>
        <w:trPr>
          <w:tblHeader w:val="false"/>
        </w:trPr>
        <w:tc>
          <w:tcPr>
            <w:tcW w:type="dxa" w:w="134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DeepSeek</w:t>
            </w:r>
          </w:p>
        </w:tc>
        <w:tc>
          <w:tcPr>
            <w:tcW w:type="dxa" w:w="14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BASE</w:t>
            </w:r>
          </w:p>
        </w:tc>
        <w:tc>
          <w:tcPr>
            <w:tcW w:type="dxa" w:w="6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200</w:t>
            </w:r>
          </w:p>
        </w:tc>
        <w:tc>
          <w:tcPr>
            <w:tcW w:type="dxa" w:w="1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51.5</w:t>
            </w:r>
          </w:p>
        </w:tc>
        <w:tc>
          <w:tcPr>
            <w:tcW w:type="dxa" w:w="15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85.8</w:t>
            </w:r>
          </w:p>
        </w:tc>
        <w:tc>
          <w:tcPr>
            <w:tcW w:type="dxa" w:w="130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22.0</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32.0</w:t>
            </w:r>
          </w:p>
        </w:tc>
      </w:tr>
      <w:tr>
        <w:trPr>
          <w:tblHeader w:val="false"/>
        </w:trPr>
        <w:tc>
          <w:tcPr>
            <w:tcW w:type="dxa" w:w="134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DeepSeek</w:t>
            </w:r>
          </w:p>
        </w:tc>
        <w:tc>
          <w:tcPr>
            <w:tcW w:type="dxa" w:w="14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SUIT</w:t>
            </w:r>
          </w:p>
        </w:tc>
        <w:tc>
          <w:tcPr>
            <w:tcW w:type="dxa" w:w="6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200</w:t>
            </w:r>
          </w:p>
        </w:tc>
        <w:tc>
          <w:tcPr>
            <w:tcW w:type="dxa" w:w="1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42.0</w:t>
            </w:r>
          </w:p>
        </w:tc>
        <w:tc>
          <w:tcPr>
            <w:tcW w:type="dxa" w:w="15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70.0</w:t>
            </w:r>
          </w:p>
        </w:tc>
        <w:tc>
          <w:tcPr>
            <w:tcW w:type="dxa" w:w="130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16.0</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28.7</w:t>
            </w:r>
          </w:p>
        </w:tc>
      </w:tr>
      <w:tr>
        <w:trPr>
          <w:tblHeader w:val="false"/>
        </w:trPr>
        <w:tc>
          <w:tcPr>
            <w:tcW w:type="dxa" w:w="134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Doubao</w:t>
            </w:r>
          </w:p>
        </w:tc>
        <w:tc>
          <w:tcPr>
            <w:tcW w:type="dxa" w:w="14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BASE</w:t>
            </w:r>
          </w:p>
        </w:tc>
        <w:tc>
          <w:tcPr>
            <w:tcW w:type="dxa" w:w="6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200</w:t>
            </w:r>
          </w:p>
        </w:tc>
        <w:tc>
          <w:tcPr>
            <w:tcW w:type="dxa" w:w="1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51.5</w:t>
            </w:r>
          </w:p>
        </w:tc>
        <w:tc>
          <w:tcPr>
            <w:tcW w:type="dxa" w:w="15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85.8</w:t>
            </w:r>
          </w:p>
        </w:tc>
        <w:tc>
          <w:tcPr>
            <w:tcW w:type="dxa" w:w="130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20.5</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31.0</w:t>
            </w:r>
          </w:p>
        </w:tc>
      </w:tr>
      <w:tr>
        <w:trPr>
          <w:tblHeader w:val="false"/>
        </w:trPr>
        <w:tc>
          <w:tcPr>
            <w:tcW w:type="dxa" w:w="134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Doubao</w:t>
            </w:r>
          </w:p>
        </w:tc>
        <w:tc>
          <w:tcPr>
            <w:tcW w:type="dxa" w:w="14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SUIT</w:t>
            </w:r>
          </w:p>
        </w:tc>
        <w:tc>
          <w:tcPr>
            <w:tcW w:type="dxa" w:w="6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199</w:t>
            </w:r>
          </w:p>
        </w:tc>
        <w:tc>
          <w:tcPr>
            <w:tcW w:type="dxa" w:w="1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40.7</w:t>
            </w:r>
          </w:p>
        </w:tc>
        <w:tc>
          <w:tcPr>
            <w:tcW w:type="dxa" w:w="15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67.5</w:t>
            </w:r>
          </w:p>
        </w:tc>
        <w:tc>
          <w:tcPr>
            <w:tcW w:type="dxa" w:w="130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13.1</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24.7</w:t>
            </w:r>
          </w:p>
        </w:tc>
      </w:tr>
      <w:tr>
        <w:trPr>
          <w:tblHeader w:val="false"/>
        </w:trPr>
        <w:tc>
          <w:tcPr>
            <w:tcW w:type="dxa" w:w="134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Kimi</w:t>
            </w:r>
          </w:p>
        </w:tc>
        <w:tc>
          <w:tcPr>
            <w:tcW w:type="dxa" w:w="147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BASE</w:t>
            </w:r>
          </w:p>
        </w:tc>
        <w:tc>
          <w:tcPr>
            <w:tcW w:type="dxa" w:w="66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200</w:t>
            </w:r>
          </w:p>
        </w:tc>
        <w:tc>
          <w:tcPr>
            <w:tcW w:type="dxa" w:w="14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49.5</w:t>
            </w:r>
          </w:p>
        </w:tc>
        <w:tc>
          <w:tcPr>
            <w:tcW w:type="dxa" w:w="151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82.5</w:t>
            </w:r>
          </w:p>
        </w:tc>
        <w:tc>
          <w:tcPr>
            <w:tcW w:type="dxa" w:w="130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18.5</w:t>
            </w:r>
          </w:p>
        </w:tc>
        <w:tc>
          <w:tcPr>
            <w:tcW w:type="dxa" w:w="1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28.0</w:t>
            </w:r>
          </w:p>
        </w:tc>
      </w:tr>
      <w:tr>
        <w:trPr>
          <w:tblHeader w:val="false"/>
        </w:trPr>
        <w:tc>
          <w:tcPr>
            <w:tcW w:type="dxa" w:w="134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Kimi</w:t>
            </w:r>
          </w:p>
        </w:tc>
        <w:tc>
          <w:tcPr>
            <w:tcW w:type="dxa" w:w="147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SUIT</w:t>
            </w:r>
          </w:p>
        </w:tc>
        <w:tc>
          <w:tcPr>
            <w:tcW w:type="dxa" w:w="6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200</w:t>
            </w:r>
          </w:p>
        </w:tc>
        <w:tc>
          <w:tcPr>
            <w:tcW w:type="dxa" w:w="14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25.0</w:t>
            </w:r>
          </w:p>
        </w:tc>
        <w:tc>
          <w:tcPr>
            <w:tcW w:type="dxa" w:w="151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41.7</w:t>
            </w:r>
          </w:p>
        </w:tc>
        <w:tc>
          <w:tcPr>
            <w:tcW w:type="dxa" w:w="130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11.5</w:t>
            </w:r>
          </w:p>
        </w:tc>
        <w:tc>
          <w:tcPr>
            <w:tcW w:type="dxa" w:w="12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23.0</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From T11, T13 and T22. C1-C3 column: n = 120 per cell. Holding-period and loss-tolerance breaches were 0-1% in every cell (T11). Mean equity for Doubao is over the 199 investors with codable replies in both conditions.</w:t>
      </w:r>
    </w:p>
    <w:p>
      <w:pPr>
        <w:keepNext/>
        <w:spacing w:after="0" w:before="200" w:line="276" w:lineRule="auto"/>
        <w:jc w:val="left"/>
      </w:pPr>
      <w:r>
        <w:rPr>
          <w:rFonts w:ascii="Times New Roman" w:cs="Times New Roman" w:eastAsia="SimSun" w:hAnsi="Times New Roman"/>
          <w:b/>
          <w:bCs/>
        </w:rPr>
        <w:t xml:space="preserve">Figure 6</w:t>
      </w:r>
    </w:p>
    <w:p>
      <w:pPr>
        <w:keepNext/>
        <w:spacing w:after="80" w:before="0" w:line="276" w:lineRule="auto"/>
        <w:jc w:val="left"/>
      </w:pPr>
      <w:r>
        <w:rPr>
          <w:rFonts w:ascii="Times New Roman" w:cs="Times New Roman" w:eastAsia="SimSun" w:hAnsi="Times New Roman"/>
          <w:i/>
          <w:iCs/>
        </w:rPr>
        <w:t xml:space="preserve">Share of replies with a fund rated above the permitted level, by risk class</w:t>
      </w:r>
    </w:p>
    <w:p>
      <w:pPr>
        <w:keepNext/>
        <w:spacing w:after="60" w:before="60" w:line="240" w:lineRule="auto"/>
        <w:jc w:val="center"/>
      </w:pPr>
      <w:r>
        <w:drawing>
          <wp:inline distT="0" distB="0" distL="0" distR="0">
            <wp:extent cx="5715000" cy="3238500"/>
            <wp:effectExtent t="0" r="0" b="0" l="0"/>
            <wp:docPr id="1" name="Figure 6. Share of replies with a fund rated above the permitted level, by risk class" descr="Figure 6. Share of replies with a fund rated above the permitted level, by risk class" title="Figure 6. Share of replies with a fund rated above the permitted level, by risk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38500"/>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n = 40 per bar (39 for Doubao SUIT C5). No breach is possible for C4 and C5 because the menu contains no R5 fund.</w:t>
      </w:r>
    </w:p>
    <w:p>
      <w:pPr>
        <w:spacing w:after="120" w:line="276" w:lineRule="auto"/>
        <w:ind w:firstLine="567"/>
        <w:jc w:val="both"/>
      </w:pPr>
      <w:r>
        <w:rPr>
          <w:rFonts w:ascii="Times New Roman" w:cs="Times New Roman" w:eastAsia="SimSun" w:hAnsi="Times New Roman"/>
        </w:rPr>
        <w:t xml:space="preserve">Equity above the combined risk and horizon cap was rarer (18.5-22.0% under BASE) and concentrated among aggressive investors: 32.5-40.0% of C4 and 55.0-62.5% of C5 recommendations (T12). The models cut equity sharply for horizons under one year but treated a C4 or C5 investor with a one-to-three-year horizon almost like a long-horizon one (Figure 7); C5 investors with H2 horizons received 78% equity on average under BASE, against a horizon cap of 30%. As H6 predicted, 50.0-65.6% of BASE recommendations to C4-C5 investors with horizons under three years exceeded the cap, against 15.6-21.9% for those with horizons of five years or more (T17). The fund with a three-year lock-up went to a shorter-horizon investor only once.</w:t>
      </w:r>
    </w:p>
    <w:p>
      <w:pPr>
        <w:keepNext/>
        <w:spacing w:after="0" w:before="200" w:line="276" w:lineRule="auto"/>
        <w:jc w:val="left"/>
      </w:pPr>
      <w:r>
        <w:rPr>
          <w:rFonts w:ascii="Times New Roman" w:cs="Times New Roman" w:eastAsia="SimSun" w:hAnsi="Times New Roman"/>
          <w:b/>
          <w:bCs/>
        </w:rPr>
        <w:t xml:space="preserve">Figure 7</w:t>
      </w:r>
    </w:p>
    <w:p>
      <w:pPr>
        <w:keepNext/>
        <w:spacing w:after="80" w:before="0" w:line="276" w:lineRule="auto"/>
        <w:jc w:val="left"/>
      </w:pPr>
      <w:r>
        <w:rPr>
          <w:rFonts w:ascii="Times New Roman" w:cs="Times New Roman" w:eastAsia="SimSun" w:hAnsi="Times New Roman"/>
          <w:i/>
          <w:iCs/>
        </w:rPr>
        <w:t xml:space="preserve">Mean equity exposure by risk class and horizon</w:t>
      </w:r>
    </w:p>
    <w:p>
      <w:pPr>
        <w:keepNext/>
        <w:spacing w:after="60" w:before="60" w:line="240" w:lineRule="auto"/>
        <w:jc w:val="center"/>
      </w:pPr>
      <w:r>
        <w:drawing>
          <wp:inline distT="0" distB="0" distL="0" distR="0">
            <wp:extent cx="5715000" cy="2676525"/>
            <wp:effectExtent t="0" r="0" b="0" l="0"/>
            <wp:docPr id="1" name="Figure 7. Mean equity exposure by risk class and horizon" descr="Figure 7. Mean equity exposure by risk class and horizon" title="Figure 7. Mean equity exposure by risk class and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7652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Pooled over the three models; each cell averages 24 replies (8 investors x 3 models).</w:t>
      </w:r>
    </w:p>
    <w:p>
      <w:pPr>
        <w:pStyle w:val="Heading2"/>
        <w:keepNext/>
        <w:spacing w:after="120" w:before="200" w:line="276" w:lineRule="auto"/>
      </w:pPr>
      <w:r>
        <w:rPr>
          <w:rFonts w:ascii="Times New Roman" w:cs="Times New Roman" w:eastAsia="SimSun" w:hAnsi="Times New Roman"/>
          <w:b/>
          <w:bCs/>
          <w:sz w:val="24"/>
          <w:szCs w:val="24"/>
        </w:rPr>
        <w:t xml:space="preserve">9.4 Effect of the suitability protocol (RQ3)</w:t>
      </w:r>
    </w:p>
    <w:p>
      <w:pPr>
        <w:spacing w:after="120" w:line="276" w:lineRule="auto"/>
        <w:ind w:firstLine="567"/>
        <w:jc w:val="both"/>
      </w:pPr>
      <w:r>
        <w:rPr>
          <w:rFonts w:ascii="Times New Roman" w:cs="Times New Roman" w:eastAsia="SimSun" w:hAnsi="Times New Roman"/>
        </w:rPr>
        <w:t xml:space="preserve">The protocol improved every suitability measure in every model (Table 10). Rating breaches fell by 9.5 points for DeepSeek, 11.1 for Doubao and 24.5 for Kimi, almost entirely in one direction: among investors whose breach status changed, the protocol removed a breach in 19, 24 and 49 cases and added one in 0, 2 and 0. Equity above the cap fell by 6-7 points and mean equity by 3.4-6.3 points (d_z = -0.27 to -0.63, all Holm p &lt; 0.001). The pooled regression gives 4.9 points less equity under SUIT (95% CI -5.9 to -3.8) and a slightly flatter risk gradient (T10).</w:t>
      </w:r>
    </w:p>
    <w:p>
      <w:pPr>
        <w:keepNext/>
        <w:spacing w:after="0" w:before="200" w:line="276" w:lineRule="auto"/>
        <w:jc w:val="left"/>
      </w:pPr>
      <w:r>
        <w:rPr>
          <w:rFonts w:ascii="Times New Roman" w:cs="Times New Roman" w:eastAsia="SimSun" w:hAnsi="Times New Roman"/>
          <w:b/>
          <w:bCs/>
        </w:rPr>
        <w:t xml:space="preserve">Table 10</w:t>
      </w:r>
    </w:p>
    <w:p>
      <w:pPr>
        <w:keepNext/>
        <w:spacing w:after="80" w:before="0" w:line="276" w:lineRule="auto"/>
        <w:jc w:val="left"/>
      </w:pPr>
      <w:r>
        <w:rPr>
          <w:rFonts w:ascii="Times New Roman" w:cs="Times New Roman" w:eastAsia="SimSun" w:hAnsi="Times New Roman"/>
          <w:i/>
          <w:iCs/>
        </w:rPr>
        <w:t xml:space="preserve">Paired effect of the suitability protocol (SUIT minus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1404"/>
        <w:gridCol w:w="796"/>
        <w:gridCol w:w="796"/>
        <w:gridCol w:w="1601"/>
        <w:gridCol w:w="2131"/>
        <w:gridCol w:w="965"/>
      </w:tblGrid>
      <w:tr>
        <w:trPr>
          <w:tblHeader/>
        </w:trPr>
        <w:tc>
          <w:tcPr>
            <w:tcW w:type="dxa" w:w="133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Model</w:t>
            </w:r>
          </w:p>
        </w:tc>
        <w:tc>
          <w:tcPr>
            <w:tcW w:type="dxa" w:w="14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Outcome</w:t>
            </w:r>
          </w:p>
        </w:tc>
        <w:tc>
          <w:tcPr>
            <w:tcW w:type="dxa" w:w="7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BASE</w:t>
            </w:r>
          </w:p>
        </w:tc>
        <w:tc>
          <w:tcPr>
            <w:tcW w:type="dxa" w:w="7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SUIT</w:t>
            </w:r>
          </w:p>
        </w:tc>
        <w:tc>
          <w:tcPr>
            <w:tcW w:type="dxa" w:w="16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Difference</w:t>
            </w:r>
          </w:p>
        </w:tc>
        <w:tc>
          <w:tcPr>
            <w:tcW w:type="dxa" w:w="213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Discordant pairs (BASE only vs SUIT only)</w:t>
            </w:r>
          </w:p>
        </w:tc>
        <w:tc>
          <w:tcPr>
            <w:tcW w:type="dxa" w:w="96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Holm p</w:t>
            </w:r>
          </w:p>
        </w:tc>
      </w:tr>
      <w:tr>
        <w:trPr>
          <w:tblHeader w:val="false"/>
        </w:trPr>
        <w:tc>
          <w:tcPr>
            <w:tcW w:type="dxa" w:w="1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DeepSeek</w:t>
            </w:r>
          </w:p>
        </w:tc>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Rating breach (%)</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51.5</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42.0</w:t>
            </w:r>
          </w:p>
        </w:tc>
        <w:tc>
          <w:tcPr>
            <w:tcW w:type="dxa" w:w="16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19 vs 0</w:t>
            </w:r>
          </w:p>
        </w:tc>
        <w:tc>
          <w:tcPr>
            <w:tcW w:type="dxa" w:w="9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&lt; 0.001</w:t>
            </w:r>
          </w:p>
        </w:tc>
      </w:tr>
      <w:tr>
        <w:trPr>
          <w:tblHeader w:val="false"/>
        </w:trPr>
        <w:tc>
          <w:tcPr>
            <w:tcW w:type="dxa" w:w="1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Doubao</w:t>
            </w:r>
          </w:p>
        </w:tc>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Rating breach (%)</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51.8</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40.7</w:t>
            </w:r>
          </w:p>
        </w:tc>
        <w:tc>
          <w:tcPr>
            <w:tcW w:type="dxa" w:w="16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-11.1</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24 vs 2</w:t>
            </w:r>
          </w:p>
        </w:tc>
        <w:tc>
          <w:tcPr>
            <w:tcW w:type="dxa" w:w="9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&lt; 0.001</w:t>
            </w:r>
          </w:p>
        </w:tc>
      </w:tr>
      <w:tr>
        <w:trPr>
          <w:tblHeader w:val="false"/>
        </w:trPr>
        <w:tc>
          <w:tcPr>
            <w:tcW w:type="dxa" w:w="1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Kimi</w:t>
            </w:r>
          </w:p>
        </w:tc>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Rating breach (%)</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49.5</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25.0</w:t>
            </w:r>
          </w:p>
        </w:tc>
        <w:tc>
          <w:tcPr>
            <w:tcW w:type="dxa" w:w="16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-24.5</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49 vs 0</w:t>
            </w:r>
          </w:p>
        </w:tc>
        <w:tc>
          <w:tcPr>
            <w:tcW w:type="dxa" w:w="9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&lt; 0.001</w:t>
            </w:r>
          </w:p>
        </w:tc>
      </w:tr>
      <w:tr>
        <w:trPr>
          <w:tblHeader w:val="false"/>
        </w:trPr>
        <w:tc>
          <w:tcPr>
            <w:tcW w:type="dxa" w:w="1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DeepSeek</w:t>
            </w:r>
          </w:p>
        </w:tc>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 over cap (%)</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22.0</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16.0</w:t>
            </w:r>
          </w:p>
        </w:tc>
        <w:tc>
          <w:tcPr>
            <w:tcW w:type="dxa" w:w="16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-6.0</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14 vs 2</w:t>
            </w:r>
          </w:p>
        </w:tc>
        <w:tc>
          <w:tcPr>
            <w:tcW w:type="dxa" w:w="9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0.029</w:t>
            </w:r>
          </w:p>
        </w:tc>
      </w:tr>
      <w:tr>
        <w:trPr>
          <w:tblHeader w:val="false"/>
        </w:trPr>
        <w:tc>
          <w:tcPr>
            <w:tcW w:type="dxa" w:w="1333"/>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Doubao</w:t>
            </w:r>
          </w:p>
        </w:tc>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 over cap (%)</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20.1</w:t>
            </w:r>
          </w:p>
        </w:tc>
        <w:tc>
          <w:tcPr>
            <w:tcW w:type="dxa" w:w="79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13.1</w:t>
            </w:r>
          </w:p>
        </w:tc>
        <w:tc>
          <w:tcPr>
            <w:tcW w:type="dxa" w:w="160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-7.0</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 vs 2</w:t>
            </w:r>
          </w:p>
        </w:tc>
        <w:tc>
          <w:tcPr>
            <w:tcW w:type="dxa" w:w="9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0.012</w:t>
            </w:r>
          </w:p>
        </w:tc>
      </w:tr>
      <w:tr>
        <w:trPr>
          <w:tblHeader w:val="false"/>
        </w:trPr>
        <w:tc>
          <w:tcPr>
            <w:tcW w:type="dxa" w:w="133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Kimi</w:t>
            </w:r>
          </w:p>
        </w:tc>
        <w:tc>
          <w:tcPr>
            <w:tcW w:type="dxa" w:w="14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 over cap (%)</w:t>
            </w:r>
          </w:p>
        </w:tc>
        <w:tc>
          <w:tcPr>
            <w:tcW w:type="dxa" w:w="7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18.5</w:t>
            </w:r>
          </w:p>
        </w:tc>
        <w:tc>
          <w:tcPr>
            <w:tcW w:type="dxa" w:w="7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11.5</w:t>
            </w:r>
          </w:p>
        </w:tc>
        <w:tc>
          <w:tcPr>
            <w:tcW w:type="dxa" w:w="16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-7.0</w:t>
            </w:r>
          </w:p>
        </w:tc>
        <w:tc>
          <w:tcPr>
            <w:tcW w:type="dxa" w:w="213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 vs 2</w:t>
            </w:r>
          </w:p>
        </w:tc>
        <w:tc>
          <w:tcPr>
            <w:tcW w:type="dxa" w:w="96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0.012</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From T13. McNemar tests on 200 paired investors (199 for Doubao).</w:t>
      </w:r>
    </w:p>
    <w:p>
      <w:pPr>
        <w:spacing w:after="120" w:line="276" w:lineRule="auto"/>
        <w:ind w:firstLine="567"/>
        <w:jc w:val="both"/>
      </w:pPr>
      <w:r>
        <w:rPr>
          <w:rFonts w:ascii="Times New Roman" w:cs="Times New Roman" w:eastAsia="SimSun" w:hAnsi="Times New Roman"/>
        </w:rPr>
        <w:t xml:space="preserve">The protocol did not, however, produce compliance. Under SUIT, 41.7-70.0% of recommendations to C1-C3 investors still breached the ceiling (T22). Misclassification was not the main cause: the models' own classifications matched the true class in 60.0% (DeepSeek), 86.4% (Doubao) and 88.5% (Kimi) of cases, with quadratic weighted kappa of 0.73, 0.94 and 0.88 (T18), and among correctly classified C1-C3 investors 58.5%, 66.4% and 39.8% of recommendations still breached the rule (T25).</w:t>
      </w:r>
    </w:p>
    <w:p>
      <w:pPr>
        <w:spacing w:after="120" w:line="276" w:lineRule="auto"/>
        <w:ind w:firstLine="567"/>
        <w:jc w:val="both"/>
      </w:pPr>
      <w:r>
        <w:rPr>
          <w:rFonts w:ascii="Times New Roman" w:cs="Times New Roman" w:eastAsia="SimSun" w:hAnsi="Times New Roman"/>
        </w:rPr>
        <w:t xml:space="preserve">The protocol did change how conflicts were handled. For C4-C5 investors with horizons under three years, SUIT replies listed the conflict in 90.6-100% of cases, and mean equity fell from 38.3 to 26.7% (DeepSeek), 46.5 to 33.9% (Doubao) and 29.7 to 14.0% (Kimi). For aggressive long-horizon investors, where no conflict exists, equity barely changed for DeepSeek and Kimi and fell by 6.9 points for Doubao (T17).</w:t>
      </w:r>
    </w:p>
    <w:p>
      <w:pPr>
        <w:pStyle w:val="Heading2"/>
        <w:keepNext/>
        <w:spacing w:after="120" w:before="200" w:line="276" w:lineRule="auto"/>
      </w:pPr>
      <w:r>
        <w:rPr>
          <w:rFonts w:ascii="Times New Roman" w:cs="Times New Roman" w:eastAsia="SimSun" w:hAnsi="Times New Roman"/>
          <w:b/>
          <w:bCs/>
          <w:sz w:val="24"/>
          <w:szCs w:val="24"/>
        </w:rPr>
        <w:t xml:space="preserve">9.5 Consistency and single-attribute sensitivity (RQ4)</w:t>
      </w:r>
    </w:p>
    <w:p>
      <w:pPr>
        <w:spacing w:after="120" w:line="276" w:lineRule="auto"/>
        <w:ind w:firstLine="567"/>
        <w:jc w:val="both"/>
      </w:pPr>
      <w:r>
        <w:rPr>
          <w:rFonts w:ascii="Times New Roman" w:cs="Times New Roman" w:eastAsia="SimSun" w:hAnsi="Times New Roman"/>
        </w:rPr>
        <w:t xml:space="preserve">Asking the same question three times gave similar equity levels but different portfolios (Table 11). The intraclass correlation of equity across replicates was 0.95-0.98, with a mean within-investor standard deviation of 3.1-4.5 points, but the mean Jaccard similarity of the fund sets was only 0.59-0.70, and the breach verdict differed between replicates for 5.0-17.5% of investors.</w:t>
      </w:r>
    </w:p>
    <w:p>
      <w:pPr>
        <w:keepNext/>
        <w:spacing w:after="0" w:before="200" w:line="276" w:lineRule="auto"/>
        <w:jc w:val="left"/>
      </w:pPr>
      <w:r>
        <w:rPr>
          <w:rFonts w:ascii="Times New Roman" w:cs="Times New Roman" w:eastAsia="SimSun" w:hAnsi="Times New Roman"/>
          <w:b/>
          <w:bCs/>
        </w:rPr>
        <w:t xml:space="preserve">Table 11</w:t>
      </w:r>
    </w:p>
    <w:p>
      <w:pPr>
        <w:keepNext/>
        <w:spacing w:after="80" w:before="0" w:line="276" w:lineRule="auto"/>
        <w:jc w:val="left"/>
      </w:pPr>
      <w:r>
        <w:rPr>
          <w:rFonts w:ascii="Times New Roman" w:cs="Times New Roman" w:eastAsia="SimSun" w:hAnsi="Times New Roman"/>
          <w:i/>
          <w:iCs/>
        </w:rPr>
        <w:t xml:space="preserve">Consistency across three replicates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5"/>
        <w:gridCol w:w="1289"/>
        <w:gridCol w:w="1289"/>
        <w:gridCol w:w="1175"/>
        <w:gridCol w:w="1979"/>
        <w:gridCol w:w="1060"/>
        <w:gridCol w:w="1059"/>
      </w:tblGrid>
      <w:tr>
        <w:trPr>
          <w:tblHeader/>
        </w:trPr>
        <w:tc>
          <w:tcPr>
            <w:tcW w:type="dxa" w:w="11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Model</w:t>
            </w:r>
          </w:p>
        </w:tc>
        <w:tc>
          <w:tcPr>
            <w:tcW w:type="dxa" w:w="128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Condition</w:t>
            </w:r>
          </w:p>
        </w:tc>
        <w:tc>
          <w:tcPr>
            <w:tcW w:type="dxa" w:w="128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Investors</w:t>
            </w:r>
          </w:p>
        </w:tc>
        <w:tc>
          <w:tcPr>
            <w:tcW w:type="dxa" w:w="11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ICC(1,1) equity [95% CI]</w:t>
            </w:r>
          </w:p>
        </w:tc>
        <w:tc>
          <w:tcPr>
            <w:tcW w:type="dxa" w:w="197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Mean within-investor SD (points)</w:t>
            </w:r>
          </w:p>
        </w:tc>
        <w:tc>
          <w:tcPr>
            <w:tcW w:type="dxa" w:w="10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Mean Jaccard of fund sets</w:t>
            </w:r>
          </w:p>
        </w:tc>
        <w:tc>
          <w:tcPr>
            <w:tcW w:type="dxa" w:w="105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Same breach verdict (%)</w:t>
            </w:r>
          </w:p>
        </w:tc>
      </w:tr>
      <w:tr>
        <w:trPr>
          <w:tblHeader w:val="false"/>
        </w:trPr>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DeepSeek</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BASE</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w:t>
            </w:r>
          </w:p>
        </w:tc>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0.98 [0.96, 0.99]</w:t>
            </w:r>
          </w:p>
        </w:tc>
        <w:tc>
          <w:tcPr>
            <w:tcW w:type="dxa" w:w="19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3.9</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0.61</w:t>
            </w:r>
          </w:p>
        </w:tc>
        <w:tc>
          <w:tcPr>
            <w:tcW w:type="dxa" w:w="10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90.0</w:t>
            </w:r>
          </w:p>
        </w:tc>
      </w:tr>
      <w:tr>
        <w:trPr>
          <w:tblHeader w:val="false"/>
        </w:trPr>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DeepSeek</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SUIT</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w:t>
            </w:r>
          </w:p>
        </w:tc>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0.95 [0.91, 0.97]</w:t>
            </w:r>
          </w:p>
        </w:tc>
        <w:tc>
          <w:tcPr>
            <w:tcW w:type="dxa" w:w="19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4.5</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0.64</w:t>
            </w:r>
          </w:p>
        </w:tc>
        <w:tc>
          <w:tcPr>
            <w:tcW w:type="dxa" w:w="10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90.0</w:t>
            </w:r>
          </w:p>
        </w:tc>
      </w:tr>
      <w:tr>
        <w:trPr>
          <w:tblHeader w:val="false"/>
        </w:trPr>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Doubao</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BASE</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w:t>
            </w:r>
          </w:p>
        </w:tc>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0.97 [0.95, 0.98]</w:t>
            </w:r>
          </w:p>
        </w:tc>
        <w:tc>
          <w:tcPr>
            <w:tcW w:type="dxa" w:w="19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4.3</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0.60</w:t>
            </w:r>
          </w:p>
        </w:tc>
        <w:tc>
          <w:tcPr>
            <w:tcW w:type="dxa" w:w="10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Doubao</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SUIT</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39</w:t>
            </w:r>
          </w:p>
        </w:tc>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0.95 [0.92, 0.97]</w:t>
            </w:r>
          </w:p>
        </w:tc>
        <w:tc>
          <w:tcPr>
            <w:tcW w:type="dxa" w:w="19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4.4</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0.59</w:t>
            </w:r>
          </w:p>
        </w:tc>
        <w:tc>
          <w:tcPr>
            <w:tcW w:type="dxa" w:w="10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84.6</w:t>
            </w:r>
          </w:p>
        </w:tc>
      </w:tr>
      <w:tr>
        <w:trPr>
          <w:tblHeader w:val="false"/>
        </w:trPr>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Kimi</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BASE</w:t>
            </w:r>
          </w:p>
        </w:tc>
        <w:tc>
          <w:tcPr>
            <w:tcW w:type="dxa" w:w="128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w:t>
            </w:r>
          </w:p>
        </w:tc>
        <w:tc>
          <w:tcPr>
            <w:tcW w:type="dxa" w:w="117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0.98 [0.97, 0.99]</w:t>
            </w:r>
          </w:p>
        </w:tc>
        <w:tc>
          <w:tcPr>
            <w:tcW w:type="dxa" w:w="197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3.1</w:t>
            </w:r>
          </w:p>
        </w:tc>
        <w:tc>
          <w:tcPr>
            <w:tcW w:type="dxa" w:w="1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0.67</w:t>
            </w:r>
          </w:p>
        </w:tc>
        <w:tc>
          <w:tcPr>
            <w:tcW w:type="dxa" w:w="1059"/>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85.0</w:t>
            </w:r>
          </w:p>
        </w:tc>
      </w:tr>
      <w:tr>
        <w:trPr>
          <w:tblHeader w:val="false"/>
        </w:trPr>
        <w:tc>
          <w:tcPr>
            <w:tcW w:type="dxa" w:w="11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Kimi</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SUIT</w:t>
            </w:r>
          </w:p>
        </w:tc>
        <w:tc>
          <w:tcPr>
            <w:tcW w:type="dxa" w:w="128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w:t>
            </w:r>
          </w:p>
        </w:tc>
        <w:tc>
          <w:tcPr>
            <w:tcW w:type="dxa" w:w="11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0.96 [0.93, 0.98]</w:t>
            </w:r>
          </w:p>
        </w:tc>
        <w:tc>
          <w:tcPr>
            <w:tcW w:type="dxa" w:w="197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4.1</w:t>
            </w:r>
          </w:p>
        </w:tc>
        <w:tc>
          <w:tcPr>
            <w:tcW w:type="dxa" w:w="10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0.70</w:t>
            </w:r>
          </w:p>
        </w:tc>
        <w:tc>
          <w:tcPr>
            <w:tcW w:type="dxa" w:w="105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82.5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From T15. One Doubao SUIT replicate could not be parsed, leaving 39 investors.</w:t>
      </w:r>
    </w:p>
    <w:p>
      <w:pPr>
        <w:spacing w:after="120" w:line="276" w:lineRule="auto"/>
        <w:ind w:firstLine="567"/>
        <w:jc w:val="both"/>
      </w:pPr>
      <w:r>
        <w:rPr>
          <w:rFonts w:ascii="Times New Roman" w:cs="Times New Roman" w:eastAsia="SimSun" w:hAnsi="Times New Roman"/>
        </w:rPr>
        <w:t xml:space="preserve">The probes, which change one attribute at a time, confirm the dominance of risk tolerance and qualify the horizon effect (Figure 8, T16). One risk class up raised equity by 20.3-24.0 points, in the expected direction for every anchor in every cell; one horizon band longer raised it by only 1.0-3.8 points, in the expected direction for 3 to 8 of 10 anchors; and one age band older lowered it by 1.4-3.0 points. The stated horizon alone thus moves the models far less than the 8.7 points per band in the main sample, where horizon comes bundled with consistent objectives.</w:t>
      </w:r>
    </w:p>
    <w:p>
      <w:pPr>
        <w:keepNext/>
        <w:spacing w:after="0" w:before="200" w:line="276" w:lineRule="auto"/>
        <w:jc w:val="left"/>
      </w:pPr>
      <w:r>
        <w:rPr>
          <w:rFonts w:ascii="Times New Roman" w:cs="Times New Roman" w:eastAsia="SimSun" w:hAnsi="Times New Roman"/>
          <w:b/>
          <w:bCs/>
        </w:rPr>
        <w:t xml:space="preserve">Figure 8</w:t>
      </w:r>
    </w:p>
    <w:p>
      <w:pPr>
        <w:keepNext/>
        <w:spacing w:after="80" w:before="0" w:line="276" w:lineRule="auto"/>
        <w:jc w:val="left"/>
      </w:pPr>
      <w:r>
        <w:rPr>
          <w:rFonts w:ascii="Times New Roman" w:cs="Times New Roman" w:eastAsia="SimSun" w:hAnsi="Times New Roman"/>
          <w:i/>
          <w:iCs/>
        </w:rPr>
        <w:t xml:space="preserve">Single-attribute probes</w:t>
      </w:r>
    </w:p>
    <w:p>
      <w:pPr>
        <w:keepNext/>
        <w:spacing w:after="60" w:before="60" w:line="240" w:lineRule="auto"/>
        <w:jc w:val="center"/>
      </w:pPr>
      <w:r>
        <w:drawing>
          <wp:inline distT="0" distB="0" distL="0" distR="0">
            <wp:extent cx="5715000" cy="2638425"/>
            <wp:effectExtent t="0" r="0" b="0" l="0"/>
            <wp:docPr id="1" name="Figure 8. Single-attribute probes" descr="Figure 8. Single-attribute probes" title="Figure 8. Single-attribute pro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3842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Mean equity exposure as one attribute moves through its levels while the rest of the anchor profile is held constant; averaged over the 10 anchors.</w:t>
      </w:r>
    </w:p>
    <w:p>
      <w:pPr>
        <w:pStyle w:val="Heading2"/>
        <w:keepNext/>
        <w:spacing w:after="120" w:before="200" w:line="276" w:lineRule="auto"/>
      </w:pPr>
      <w:r>
        <w:rPr>
          <w:rFonts w:ascii="Times New Roman" w:cs="Times New Roman" w:eastAsia="SimSun" w:hAnsi="Times New Roman"/>
          <w:b/>
          <w:bCs/>
          <w:sz w:val="24"/>
          <w:szCs w:val="24"/>
        </w:rPr>
        <w:t xml:space="preserve">9.6 Model differences (RQ5)</w:t>
      </w:r>
    </w:p>
    <w:p>
      <w:pPr>
        <w:spacing w:after="120" w:line="276" w:lineRule="auto"/>
        <w:ind w:firstLine="567"/>
        <w:jc w:val="both"/>
      </w:pPr>
      <w:r>
        <w:rPr>
          <w:rFonts w:ascii="Times New Roman" w:cs="Times New Roman" w:eastAsia="SimSun" w:hAnsi="Times New Roman"/>
        </w:rPr>
        <w:t xml:space="preserve">Under BASE the models behaved much alike: their breach rates did not differ (Cochran's Q = 2.46, p = 0.29), and their equity levels differed only slightly (Friedman test, Kendall's W = 0.045), with Kimi recommending 3.3-4.1 points less equity than the others. Under SUIT they diverged: Kimi's breach rate of 25.0% compares with 40.7-42.0% for the others (Q = 45.2, p &lt; 0.001), and equity differences grew (W = 0.084; T14). Kimi cost about 7 to 11 times as much per call (USD 2.56 for 876 logged calls, against USD 0.33 for Doubao and USD 0.23 for DeepSeek for 856 calls each).</w:t>
      </w:r>
    </w:p>
    <w:p>
      <w:pPr>
        <w:pStyle w:val="Heading2"/>
        <w:keepNext/>
        <w:spacing w:after="120" w:before="200" w:line="276" w:lineRule="auto"/>
      </w:pPr>
      <w:r>
        <w:rPr>
          <w:rFonts w:ascii="Times New Roman" w:cs="Times New Roman" w:eastAsia="SimSun" w:hAnsi="Times New Roman"/>
          <w:b/>
          <w:bCs/>
          <w:sz w:val="24"/>
          <w:szCs w:val="24"/>
        </w:rPr>
        <w:t xml:space="preserve">9.7 Historical check</w:t>
      </w:r>
    </w:p>
    <w:p>
      <w:pPr>
        <w:spacing w:after="120" w:line="276" w:lineRule="auto"/>
        <w:ind w:firstLine="567"/>
        <w:jc w:val="both"/>
      </w:pPr>
      <w:r>
        <w:rPr>
          <w:rFonts w:ascii="Times New Roman" w:cs="Times New Roman" w:eastAsia="SimSun" w:hAnsi="Times New Roman"/>
        </w:rPr>
        <w:t xml:space="preserve">Over the common 59-month window, November 2021 to September 2026, the median worst 12-month return was positive for C1 and C2 recommendations, slightly negative for C3, and -10.5% to -18.7% for C4 and C5 (Table 12, Figure 9). Only four main-sample portfolios lost more in a year than the investor accepted: two DeepSeek C3 recommendations per condition, with worst years down to -18.8% against a 15% limit. The period explains this. The menu's money market and bond funds never had a negative 12-month return and the enhanced-return bond fund lost at most 1.1%, so the rating breaches of C1-C2 investors, which consisted mostly of such funds, caused no such losses. The R4 funds lost 9.3-36.9% in their worst year (the gold fund aside), but the models diluted them enough to keep aggressive investors within their limits.</w:t>
      </w:r>
    </w:p>
    <w:p>
      <w:pPr>
        <w:keepNext/>
        <w:spacing w:after="0" w:before="200" w:line="276" w:lineRule="auto"/>
        <w:jc w:val="left"/>
      </w:pPr>
      <w:r>
        <w:rPr>
          <w:rFonts w:ascii="Times New Roman" w:cs="Times New Roman" w:eastAsia="SimSun" w:hAnsi="Times New Roman"/>
          <w:b/>
          <w:bCs/>
        </w:rPr>
        <w:t xml:space="preserve">Table 12</w:t>
      </w:r>
    </w:p>
    <w:p>
      <w:pPr>
        <w:keepNext/>
        <w:spacing w:after="80" w:before="0" w:line="276" w:lineRule="auto"/>
        <w:jc w:val="left"/>
      </w:pPr>
      <w:r>
        <w:rPr>
          <w:rFonts w:ascii="Times New Roman" w:cs="Times New Roman" w:eastAsia="SimSun" w:hAnsi="Times New Roman"/>
          <w:i/>
          <w:iCs/>
        </w:rPr>
        <w:t xml:space="preserve">Worst rolling 12-month return of recommended portfolios, by risk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4"/>
        <w:gridCol w:w="1490"/>
        <w:gridCol w:w="1650"/>
        <w:gridCol w:w="1650"/>
        <w:gridCol w:w="1490"/>
        <w:gridCol w:w="1722"/>
      </w:tblGrid>
      <w:tr>
        <w:trPr>
          <w:tblHeader/>
        </w:trPr>
        <w:tc>
          <w:tcPr>
            <w:tcW w:type="dxa" w:w="10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Risk class</w:t>
            </w:r>
          </w:p>
        </w:tc>
        <w:tc>
          <w:tcPr>
            <w:tcW w:type="dxa" w:w="14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Stated maximum loss (%)</w:t>
            </w:r>
          </w:p>
        </w:tc>
        <w:tc>
          <w:tcPr>
            <w:tcW w:type="dxa" w:w="16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Median worst 12 months, BASE (%)</w:t>
            </w:r>
          </w:p>
        </w:tc>
        <w:tc>
          <w:tcPr>
            <w:tcW w:type="dxa" w:w="16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Median worst 12 months, SUIT (%)</w:t>
            </w:r>
          </w:p>
        </w:tc>
        <w:tc>
          <w:tcPr>
            <w:tcW w:type="dxa" w:w="14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Lowest, BASE / SUIT (%)</w:t>
            </w:r>
          </w:p>
        </w:tc>
        <w:tc>
          <w:tcPr>
            <w:tcW w:type="dxa" w:w="172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Exceeds stated loss, BASE / SUIT (%)</w:t>
            </w:r>
          </w:p>
        </w:tc>
      </w:tr>
      <w:tr>
        <w:trPr>
          <w:tblHeader w:val="false"/>
        </w:trPr>
        <w:tc>
          <w:tcPr>
            <w:tcW w:type="dxa" w:w="1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C1</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1.3</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0.6 / 0.9</w:t>
            </w:r>
          </w:p>
        </w:tc>
        <w:tc>
          <w:tcPr>
            <w:tcW w:type="dxa" w:w="17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 / 0.0</w:t>
            </w:r>
          </w:p>
        </w:tc>
      </w:tr>
      <w:tr>
        <w:trPr>
          <w:tblHeader w:val="false"/>
        </w:trPr>
        <w:tc>
          <w:tcPr>
            <w:tcW w:type="dxa" w:w="1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C2</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1.4</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-3.3 / -3.6</w:t>
            </w:r>
          </w:p>
        </w:tc>
        <w:tc>
          <w:tcPr>
            <w:tcW w:type="dxa" w:w="17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 / 0.0</w:t>
            </w:r>
          </w:p>
        </w:tc>
      </w:tr>
      <w:tr>
        <w:trPr>
          <w:tblHeader w:val="false"/>
        </w:trPr>
        <w:tc>
          <w:tcPr>
            <w:tcW w:type="dxa" w:w="1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C3</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-2.6</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-0.5</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-18.4 / -18.8</w:t>
            </w:r>
          </w:p>
        </w:tc>
        <w:tc>
          <w:tcPr>
            <w:tcW w:type="dxa" w:w="17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1.7 / 1.7</w:t>
            </w:r>
          </w:p>
        </w:tc>
      </w:tr>
      <w:tr>
        <w:trPr>
          <w:tblHeader w:val="false"/>
        </w:trPr>
        <w:tc>
          <w:tcPr>
            <w:tcW w:type="dxa" w:w="10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C4</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-13.2</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-10.5</w:t>
            </w:r>
          </w:p>
        </w:tc>
        <w:tc>
          <w:tcPr>
            <w:tcW w:type="dxa" w:w="14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-24.7 / -24.0</w:t>
            </w:r>
          </w:p>
        </w:tc>
        <w:tc>
          <w:tcPr>
            <w:tcW w:type="dxa" w:w="172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 / 0.0</w:t>
            </w:r>
          </w:p>
        </w:tc>
      </w:tr>
      <w:tr>
        <w:trPr>
          <w:tblHeader w:val="false"/>
        </w:trPr>
        <w:tc>
          <w:tcPr>
            <w:tcW w:type="dxa" w:w="10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C5</w:t>
            </w:r>
          </w:p>
        </w:tc>
        <w:tc>
          <w:tcPr>
            <w:tcW w:type="dxa" w:w="14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40</w:t>
            </w:r>
          </w:p>
        </w:tc>
        <w:tc>
          <w:tcPr>
            <w:tcW w:type="dxa" w:w="16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-18.7</w:t>
            </w:r>
          </w:p>
        </w:tc>
        <w:tc>
          <w:tcPr>
            <w:tcW w:type="dxa" w:w="16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-16.5</w:t>
            </w:r>
          </w:p>
        </w:tc>
        <w:tc>
          <w:tcPr>
            <w:tcW w:type="dxa" w:w="14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-28.3 / -28.0</w:t>
            </w:r>
          </w:p>
        </w:tc>
        <w:tc>
          <w:tcPr>
            <w:tcW w:type="dxa" w:w="172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 / 0.0</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From T24. Pooled over models, n = 120 per cell (119 for SUIT C5); monthly rebalancing on adjusted NAVs. Historical and descriptive, not a forecast.</w:t>
      </w:r>
    </w:p>
    <w:p>
      <w:pPr>
        <w:keepNext/>
        <w:spacing w:after="0" w:before="200" w:line="276" w:lineRule="auto"/>
        <w:jc w:val="left"/>
      </w:pPr>
      <w:r>
        <w:rPr>
          <w:rFonts w:ascii="Times New Roman" w:cs="Times New Roman" w:eastAsia="SimSun" w:hAnsi="Times New Roman"/>
          <w:b/>
          <w:bCs/>
        </w:rPr>
        <w:t xml:space="preserve">Figure 9</w:t>
      </w:r>
    </w:p>
    <w:p>
      <w:pPr>
        <w:keepNext/>
        <w:spacing w:after="80" w:before="0" w:line="276" w:lineRule="auto"/>
        <w:jc w:val="left"/>
      </w:pPr>
      <w:r>
        <w:rPr>
          <w:rFonts w:ascii="Times New Roman" w:cs="Times New Roman" w:eastAsia="SimSun" w:hAnsi="Times New Roman"/>
          <w:i/>
          <w:iCs/>
        </w:rPr>
        <w:t xml:space="preserve">Worst historical 12-month return against the investor's stated loss limit</w:t>
      </w:r>
    </w:p>
    <w:p>
      <w:pPr>
        <w:keepNext/>
        <w:spacing w:after="60" w:before="60" w:line="240" w:lineRule="auto"/>
        <w:jc w:val="center"/>
      </w:pPr>
      <w:r>
        <w:drawing>
          <wp:inline distT="0" distB="0" distL="0" distR="0">
            <wp:extent cx="5715000" cy="4067175"/>
            <wp:effectExtent t="0" r="0" b="0" l="0"/>
            <wp:docPr id="1" name="Figure 9. Worst historical 12-month return against the investor's stated loss limit" descr="Figure 9. Worst historical 12-month return against the investor's stated loss limit" title="Figure 9. Worst historical 12-month return against the investor's stated loss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67175"/>
                    </a:xfrm>
                    <a:prstGeom prst="rect">
                      <a:avLst/>
                    </a:prstGeom>
                  </pic:spPr>
                </pic:pic>
              </a:graphicData>
            </a:graphic>
          </wp:inline>
        </w:drawing>
      </w:r>
    </w:p>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Mean worst rolling 12-month return per risk class; dotted line: maximum one-year loss the investor accepts. Window November 2021 to September 2026.</w:t>
      </w:r>
    </w:p>
    <w:p>
      <w:pPr>
        <w:pStyle w:val="Heading2"/>
        <w:keepNext/>
        <w:spacing w:after="120" w:before="200" w:line="276" w:lineRule="auto"/>
      </w:pPr>
      <w:r>
        <w:rPr>
          <w:rFonts w:ascii="Times New Roman" w:cs="Times New Roman" w:eastAsia="SimSun" w:hAnsi="Times New Roman"/>
          <w:b/>
          <w:bCs/>
          <w:sz w:val="24"/>
          <w:szCs w:val="24"/>
        </w:rPr>
        <w:t xml:space="preserve">9.8 Robustness</w:t>
      </w:r>
    </w:p>
    <w:p>
      <w:pPr>
        <w:spacing w:after="120" w:line="276" w:lineRule="auto"/>
        <w:ind w:firstLine="567"/>
        <w:jc w:val="both"/>
      </w:pPr>
      <w:r>
        <w:rPr>
          <w:rFonts w:ascii="Times New Roman" w:cs="Times New Roman" w:eastAsia="SimSun" w:hAnsi="Times New Roman"/>
        </w:rPr>
        <w:t xml:space="preserve">Excluding replies with off-menu funds, invalid weight sums or repaired parses changes the correlations by at most 0.003 and the breach rates by at most 0.3 points, and counting a breach only when the breaching funds exceed 5% of the portfolio lowers the rates by at most 0.5 points (T20). Recomputing equity with category assumptions for every fund raises mean equity by 1.1-3.3 points and the share above the cap by 1.0-4.0 points, leaving the risk correlations at 0.66-0.81. Covariates leave the attribute and condition effects unchanged (T21).</w:t>
      </w:r>
    </w:p>
    <w:p>
      <w:pPr>
        <w:pStyle w:val="Heading1"/>
        <w:keepNext/>
        <w:spacing w:after="160" w:before="240" w:line="276" w:lineRule="auto"/>
        <w:jc w:val="center"/>
      </w:pPr>
      <w:r>
        <w:rPr>
          <w:rFonts w:ascii="Times New Roman" w:cs="Times New Roman" w:eastAsia="SimSun" w:hAnsi="Times New Roman"/>
          <w:b/>
          <w:bCs/>
          <w:sz w:val="24"/>
          <w:szCs w:val="24"/>
        </w:rPr>
        <w:t xml:space="preserve">10. Discussion and Interpretation</w:t>
      </w:r>
    </w:p>
    <w:p>
      <w:pPr>
        <w:pStyle w:val="Heading2"/>
        <w:keepNext/>
        <w:spacing w:after="120" w:before="200" w:line="276" w:lineRule="auto"/>
      </w:pPr>
      <w:r>
        <w:rPr>
          <w:rFonts w:ascii="Times New Roman" w:cs="Times New Roman" w:eastAsia="SimSun" w:hAnsi="Times New Roman"/>
          <w:b/>
          <w:bCs/>
          <w:sz w:val="24"/>
          <w:szCs w:val="24"/>
        </w:rPr>
        <w:t xml:space="preserve">10.1 The hypotheses</w:t>
      </w:r>
    </w:p>
    <w:p>
      <w:pPr>
        <w:spacing w:after="120" w:line="276" w:lineRule="auto"/>
        <w:ind w:firstLine="567"/>
        <w:jc w:val="both"/>
      </w:pPr>
      <w:r>
        <w:rPr>
          <w:rFonts w:ascii="Times New Roman" w:cs="Times New Roman" w:eastAsia="SimSun" w:hAnsi="Times New Roman"/>
        </w:rPr>
        <w:t xml:space="preserve">Table 13 sets the results against the hypotheses fixed before the run. Five are supported, one only weakly, and one in part, because the menu contained no R5 fund.</w:t>
      </w:r>
    </w:p>
    <w:p>
      <w:pPr>
        <w:keepNext/>
        <w:spacing w:after="0" w:before="200" w:line="276" w:lineRule="auto"/>
        <w:jc w:val="left"/>
      </w:pPr>
      <w:r>
        <w:rPr>
          <w:rFonts w:ascii="Times New Roman" w:cs="Times New Roman" w:eastAsia="SimSun" w:hAnsi="Times New Roman"/>
          <w:b/>
          <w:bCs/>
        </w:rPr>
        <w:t xml:space="preserve">Table 13</w:t>
      </w:r>
    </w:p>
    <w:p>
      <w:pPr>
        <w:keepNext/>
        <w:spacing w:after="80" w:before="0" w:line="276" w:lineRule="auto"/>
        <w:jc w:val="left"/>
      </w:pPr>
      <w:r>
        <w:rPr>
          <w:rFonts w:ascii="Times New Roman" w:cs="Times New Roman" w:eastAsia="SimSun" w:hAnsi="Times New Roman"/>
          <w:i/>
          <w:iCs/>
        </w:rPr>
        <w:t xml:space="preserve">Hypotheses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0"/>
        <w:gridCol w:w="1970"/>
        <w:gridCol w:w="3846"/>
      </w:tblGrid>
      <w:tr>
        <w:trPr>
          <w:tblHeader/>
        </w:trPr>
        <w:tc>
          <w:tcPr>
            <w:tcW w:type="dxa" w:w="32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Hypothesis</w:t>
            </w:r>
          </w:p>
        </w:tc>
        <w:tc>
          <w:tcPr>
            <w:tcW w:type="dxa" w:w="19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Verdict</w:t>
            </w:r>
          </w:p>
        </w:tc>
        <w:tc>
          <w:tcPr>
            <w:tcW w:type="dxa" w:w="38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Evidence</w:t>
            </w:r>
          </w:p>
        </w:tc>
      </w:tr>
      <w:tr>
        <w:trPr>
          <w:tblHeader w:val="false"/>
        </w:trPr>
        <w:tc>
          <w:tcPr>
            <w:tcW w:type="dxa" w:w="3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H1. Risk rises with risk tolerance</w:t>
            </w:r>
          </w:p>
        </w:tc>
        <w:tc>
          <w:tcPr>
            <w:tcW w:type="dxa" w:w="19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Supported</w:t>
            </w:r>
          </w:p>
        </w:tc>
        <w:tc>
          <w:tcPr>
            <w:tcW w:type="dxa" w:w="38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rho 0.69-0.83; +18.2 points per class; all probe anchors</w:t>
            </w:r>
          </w:p>
        </w:tc>
      </w:tr>
      <w:tr>
        <w:trPr>
          <w:tblHeader w:val="false"/>
        </w:trPr>
        <w:tc>
          <w:tcPr>
            <w:tcW w:type="dxa" w:w="3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H2. Risk rises with horizon</w:t>
            </w:r>
          </w:p>
        </w:tc>
        <w:tc>
          <w:tcPr>
            <w:tcW w:type="dxa" w:w="19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Supported</w:t>
            </w:r>
          </w:p>
        </w:tc>
        <w:tc>
          <w:tcPr>
            <w:tcW w:type="dxa" w:w="38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rho 0.33-0.50; +8.7 points per band; weak in probes</w:t>
            </w:r>
          </w:p>
        </w:tc>
      </w:tr>
      <w:tr>
        <w:trPr>
          <w:tblHeader w:val="false"/>
        </w:trPr>
        <w:tc>
          <w:tcPr>
            <w:tcW w:type="dxa" w:w="3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H3. Risk falls with age</w:t>
            </w:r>
          </w:p>
        </w:tc>
        <w:tc>
          <w:tcPr>
            <w:tcW w:type="dxa" w:w="19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Weak support</w:t>
            </w:r>
          </w:p>
        </w:tc>
        <w:tc>
          <w:tcPr>
            <w:tcW w:type="dxa" w:w="38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cell significant; -1.2 points per band pooled (p = 0.009)</w:t>
            </w:r>
          </w:p>
        </w:tc>
      </w:tr>
      <w:tr>
        <w:trPr>
          <w:tblHeader w:val="false"/>
        </w:trPr>
        <w:tc>
          <w:tcPr>
            <w:tcW w:type="dxa" w:w="3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H4. Risk tolerance dominates</w:t>
            </w:r>
          </w:p>
        </w:tc>
        <w:tc>
          <w:tcPr>
            <w:tcW w:type="dxa" w:w="19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Supported</w:t>
            </w:r>
          </w:p>
        </w:tc>
        <w:tc>
          <w:tcPr>
            <w:tcW w:type="dxa" w:w="38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Eta squared 0.51-0.70 vs 0.15-0.23</w:t>
            </w:r>
          </w:p>
        </w:tc>
      </w:tr>
      <w:tr>
        <w:trPr>
          <w:tblHeader w:val="false"/>
        </w:trPr>
        <w:tc>
          <w:tcPr>
            <w:tcW w:type="dxa" w:w="3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H5. Protocol reduces rating breaches</w:t>
            </w:r>
          </w:p>
        </w:tc>
        <w:tc>
          <w:tcPr>
            <w:tcW w:type="dxa" w:w="19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Supported</w:t>
            </w:r>
          </w:p>
        </w:tc>
        <w:tc>
          <w:tcPr>
            <w:tcW w:type="dxa" w:w="38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-9.5 to -24.5 points; Holm p &lt; 0.001</w:t>
            </w:r>
          </w:p>
        </w:tc>
      </w:tr>
      <w:tr>
        <w:trPr>
          <w:tblHeader w:val="false"/>
        </w:trPr>
        <w:tc>
          <w:tcPr>
            <w:tcW w:type="dxa" w:w="321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H6. Breaches concentrate in conflict profiles</w:t>
            </w:r>
          </w:p>
        </w:tc>
        <w:tc>
          <w:tcPr>
            <w:tcW w:type="dxa" w:w="19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Partly supported</w:t>
            </w:r>
          </w:p>
        </w:tc>
        <w:tc>
          <w:tcPr>
            <w:tcW w:type="dxa" w:w="38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Over cap 50-66% vs 16-22%; rating test not possible</w:t>
            </w:r>
          </w:p>
        </w:tc>
      </w:tr>
      <w:tr>
        <w:trPr>
          <w:tblHeader w:val="false"/>
        </w:trPr>
        <w:tc>
          <w:tcPr>
            <w:tcW w:type="dxa" w:w="32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H7. Stable equity, varying fund choice</w:t>
            </w:r>
          </w:p>
        </w:tc>
        <w:tc>
          <w:tcPr>
            <w:tcW w:type="dxa" w:w="19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Supported</w:t>
            </w:r>
          </w:p>
        </w:tc>
        <w:tc>
          <w:tcPr>
            <w:tcW w:type="dxa" w:w="38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ICC 0.95-0.98; Jaccard 0.59-0.70</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Main sample, BASE condition where relevant. Sources: Tables 8 to 11, Figure 8, T09, T10 and T17.</w:t>
      </w:r>
    </w:p>
    <w:p>
      <w:pPr>
        <w:pStyle w:val="Heading2"/>
        <w:keepNext/>
        <w:spacing w:after="120" w:before="200" w:line="276" w:lineRule="auto"/>
      </w:pPr>
      <w:r>
        <w:rPr>
          <w:rFonts w:ascii="Times New Roman" w:cs="Times New Roman" w:eastAsia="SimSun" w:hAnsi="Times New Roman"/>
          <w:b/>
          <w:bCs/>
          <w:sz w:val="24"/>
          <w:szCs w:val="24"/>
        </w:rPr>
        <w:t xml:space="preserve">10.2 Tailoring that rests on one attribute</w:t>
      </w:r>
    </w:p>
    <w:p>
      <w:pPr>
        <w:spacing w:after="120" w:line="276" w:lineRule="auto"/>
        <w:ind w:firstLine="567"/>
        <w:jc w:val="both"/>
      </w:pPr>
      <w:r>
        <w:rPr>
          <w:rFonts w:ascii="Times New Roman" w:cs="Times New Roman" w:eastAsia="SimSun" w:hAnsi="Times New Roman"/>
        </w:rPr>
        <w:t xml:space="preserve">All three models tailor, but mainly along one dimension: stated risk tolerance drives most of the variation, horizon acts largely as a switch between "money needed within a year" and everything else, and age barely registers. This matches the decision-tree description of GPT-4o by Ross and Lo (2026), extends it to three Chinese models, and is at odds with life-cycle theory, which expects an age gradient even at a fixed horizon (Bodie et al., 1992; Cocco et al., 2005). The probes suggest that the models respond to the overall story of a profile, such as saving for a purchase next year, more than to the stated number of years.</w:t>
      </w:r>
    </w:p>
    <w:p>
      <w:pPr>
        <w:pStyle w:val="Heading2"/>
        <w:keepNext/>
        <w:spacing w:after="120" w:before="200" w:line="276" w:lineRule="auto"/>
      </w:pPr>
      <w:r>
        <w:rPr>
          <w:rFonts w:ascii="Times New Roman" w:cs="Times New Roman" w:eastAsia="SimSun" w:hAnsi="Times New Roman"/>
          <w:b/>
          <w:bCs/>
          <w:sz w:val="24"/>
          <w:szCs w:val="24"/>
        </w:rPr>
        <w:t xml:space="preserve">10.3 The rating rule is visible but not followed</w:t>
      </w:r>
    </w:p>
    <w:p>
      <w:pPr>
        <w:spacing w:after="120" w:line="276" w:lineRule="auto"/>
        <w:ind w:firstLine="567"/>
        <w:jc w:val="both"/>
      </w:pPr>
      <w:r>
        <w:rPr>
          <w:rFonts w:ascii="Times New Roman" w:cs="Times New Roman" w:eastAsia="SimSun" w:hAnsi="Times New Roman"/>
        </w:rPr>
        <w:t xml:space="preserve">The most striking result is how often the models broke the matching rule although every rating was in the prompt. Their breaches follow an economic rather than a regulatory idea of caution: a very conservative investor typically received money market plus bond funds, a mix that lost nothing in the back-test but that the rule forbids for a C1 client. The models seem to read "conservative" as "low volatility", not as "within the rating ceiling". The protocol halved the breach rate for Kimi, but two-thirds or more of C1-C3 recommendations from DeepSeek and Doubao still breached the rule, often after correct classification. Knowing a rule and applying it are different steps, so a rule written into a prompt is not a control in the regulatory sense. Unlike classic sycophancy (Sharma et al., 2024), the models departed from the rule towards what they apparently judged to be good advice, not towards what the client asked for.</w:t>
      </w:r>
    </w:p>
    <w:p>
      <w:pPr>
        <w:pStyle w:val="Heading2"/>
        <w:keepNext/>
        <w:spacing w:after="120" w:before="200" w:line="276" w:lineRule="auto"/>
      </w:pPr>
      <w:r>
        <w:rPr>
          <w:rFonts w:ascii="Times New Roman" w:cs="Times New Roman" w:eastAsia="SimSun" w:hAnsi="Times New Roman"/>
          <w:b/>
          <w:bCs/>
          <w:sz w:val="24"/>
          <w:szCs w:val="24"/>
        </w:rPr>
        <w:t xml:space="preserve">10.4 Aggressive clients with short horizons</w:t>
      </w:r>
    </w:p>
    <w:p>
      <w:pPr>
        <w:spacing w:after="120" w:line="276" w:lineRule="auto"/>
        <w:ind w:firstLine="567"/>
        <w:jc w:val="both"/>
      </w:pPr>
      <w:r>
        <w:rPr>
          <w:rFonts w:ascii="Times New Roman" w:cs="Times New Roman" w:eastAsia="SimSun" w:hAnsi="Times New Roman"/>
        </w:rPr>
        <w:t xml:space="preserve">Under the baseline prompt a C5 investor who needed the money in one to three years received about three-quarters equity, more than twice the horizon cap: as H6 anticipated, the stated appetite for risk won. The protocol helped most here, flagging the conflict in almost every case and cutting equity substantially, while leaving aggressive long-horizon investors largely untouched in two of the three models; it targets the conflict rather than making all advice more conservative.</w:t>
      </w:r>
    </w:p>
    <w:p>
      <w:pPr>
        <w:pStyle w:val="Heading2"/>
        <w:keepNext/>
        <w:spacing w:after="120" w:before="200" w:line="276" w:lineRule="auto"/>
      </w:pPr>
      <w:r>
        <w:rPr>
          <w:rFonts w:ascii="Times New Roman" w:cs="Times New Roman" w:eastAsia="SimSun" w:hAnsi="Times New Roman"/>
          <w:b/>
          <w:bCs/>
          <w:sz w:val="24"/>
          <w:szCs w:val="24"/>
        </w:rPr>
        <w:t xml:space="preserve">10.5 Reliability, model differences and the back-test</w:t>
      </w:r>
    </w:p>
    <w:p>
      <w:pPr>
        <w:spacing w:after="120" w:line="276" w:lineRule="auto"/>
        <w:ind w:firstLine="567"/>
        <w:jc w:val="both"/>
      </w:pPr>
      <w:r>
        <w:rPr>
          <w:rFonts w:ascii="Times New Roman" w:cs="Times New Roman" w:eastAsia="SimSun" w:hAnsi="Times New Roman"/>
        </w:rPr>
        <w:t xml:space="preserve">Equity levels were repeatable but fund choices were not, and the breach verdict changed between replicates for up to 17.5% of investors, so an audit based on one query per client would misclassify a noticeable share of cases (Atil et al., 2024; Barbieri et al., 2026). The models were close under the baseline prompt and differed mainly in how strongly they responded to the protocol, so model differences lie less in default risk-taking than in instruction-following. Finally, the rarity of loss-tolerance breaches does not show that rating breaches are harmless: the window was benign for Chinese bond and money market funds, and in a period of rising rates or credit stress the same breaches could cause losses for investors who accept none.</w:t>
      </w:r>
    </w:p>
    <w:p>
      <w:pPr>
        <w:pStyle w:val="Heading1"/>
        <w:keepNext/>
        <w:spacing w:after="160" w:before="240" w:line="276" w:lineRule="auto"/>
        <w:jc w:val="center"/>
      </w:pPr>
      <w:r>
        <w:rPr>
          <w:rFonts w:ascii="Times New Roman" w:cs="Times New Roman" w:eastAsia="SimSun" w:hAnsi="Times New Roman"/>
          <w:b/>
          <w:bCs/>
          <w:sz w:val="24"/>
          <w:szCs w:val="24"/>
        </w:rPr>
        <w:t xml:space="preserve">11. Implications for AI-Based Investment Advice</w:t>
      </w:r>
    </w:p>
    <w:p>
      <w:pPr>
        <w:spacing w:after="120" w:line="276" w:lineRule="auto"/>
        <w:ind w:firstLine="567"/>
        <w:jc w:val="both"/>
      </w:pPr>
      <w:r>
        <w:rPr>
          <w:rFonts w:ascii="Times New Roman" w:cs="Times New Roman" w:eastAsia="SimSun" w:hAnsi="Times New Roman"/>
          <w:b/>
          <w:bCs/>
        </w:rPr>
        <w:t xml:space="preserve">Platforms.</w:t>
      </w:r>
      <w:r>
        <w:rPr>
          <w:rFonts w:ascii="Times New Roman" w:cs="Times New Roman" w:eastAsia="SimSun" w:hAnsi="Times New Roman"/>
        </w:rPr>
        <w:t xml:space="preserve"> Showing ratings to the model and adding a suitability protocol to its prompt do not keep advice within the matching rule. The rule should be enforced in code: the model should be offered only products at or below the client's ceiling, or every recommendation should be checked automatically before it is shown. The model's own classification, which matched the true class in 60-89% of cases, can be an input but not the control.</w:t>
      </w:r>
    </w:p>
    <w:p>
      <w:pPr>
        <w:spacing w:after="120" w:line="276" w:lineRule="auto"/>
        <w:ind w:firstLine="567"/>
        <w:jc w:val="both"/>
      </w:pPr>
      <w:r>
        <w:rPr>
          <w:rFonts w:ascii="Times New Roman" w:cs="Times New Roman" w:eastAsia="SimSun" w:hAnsi="Times New Roman"/>
          <w:b/>
          <w:bCs/>
        </w:rPr>
        <w:t xml:space="preserve">Prompt design.</w:t>
      </w:r>
      <w:r>
        <w:rPr>
          <w:rFonts w:ascii="Times New Roman" w:cs="Times New Roman" w:eastAsia="SimSun" w:hAnsi="Times New Roman"/>
        </w:rPr>
        <w:t xml:space="preserve"> A suitability protocol is cheap and worthwhile: it cut breaches by up to half and made the models flag almost every risk-horizon conflict. Its effect differs strongly between models, so it must be tested on the model actually deployed.</w:t>
      </w:r>
    </w:p>
    <w:p>
      <w:pPr>
        <w:spacing w:after="120" w:line="276" w:lineRule="auto"/>
        <w:ind w:firstLine="567"/>
        <w:jc w:val="both"/>
      </w:pPr>
      <w:r>
        <w:rPr>
          <w:rFonts w:ascii="Times New Roman" w:cs="Times New Roman" w:eastAsia="SimSun" w:hAnsi="Times New Roman"/>
          <w:b/>
          <w:bCs/>
        </w:rPr>
        <w:t xml:space="preserve">Supervisors and auditors.</w:t>
      </w:r>
      <w:r>
        <w:rPr>
          <w:rFonts w:ascii="Times New Roman" w:cs="Times New Roman" w:eastAsia="SimSun" w:hAnsi="Times New Roman"/>
        </w:rPr>
        <w:t xml:space="preserve"> Audits should use repeated queries per profile, and back-tests over one benign window should be complemented by stress scenarios.</w:t>
      </w:r>
    </w:p>
    <w:p>
      <w:pPr>
        <w:spacing w:after="120" w:line="276" w:lineRule="auto"/>
        <w:ind w:firstLine="567"/>
        <w:jc w:val="both"/>
      </w:pPr>
      <w:r>
        <w:rPr>
          <w:rFonts w:ascii="Times New Roman" w:cs="Times New Roman" w:eastAsia="SimSun" w:hAnsi="Times New Roman"/>
          <w:b/>
          <w:bCs/>
        </w:rPr>
        <w:t xml:space="preserve">Investors and developers.</w:t>
      </w:r>
      <w:r>
        <w:rPr>
          <w:rFonts w:ascii="Times New Roman" w:cs="Times New Roman" w:eastAsia="SimSun" w:hAnsi="Times New Roman"/>
        </w:rPr>
        <w:t xml:space="preserve"> The models respond strongly to stated risk attitude and weakly to age and horizon, so users should state their horizon and liquidity needs explicitly and be wary of high-equity portfolios offered for short horizons. For developers, the gap between classifying a client correctly and recommending within that class is a measurable benchmark of constraint-following.</w:t>
      </w:r>
    </w:p>
    <w:p>
      <w:pPr>
        <w:pStyle w:val="Heading1"/>
        <w:keepNext/>
        <w:spacing w:after="160" w:before="240" w:line="276" w:lineRule="auto"/>
        <w:jc w:val="center"/>
      </w:pPr>
      <w:r>
        <w:rPr>
          <w:rFonts w:ascii="Times New Roman" w:cs="Times New Roman" w:eastAsia="SimSun" w:hAnsi="Times New Roman"/>
          <w:b/>
          <w:bCs/>
          <w:sz w:val="24"/>
          <w:szCs w:val="24"/>
        </w:rPr>
        <w:t xml:space="preserve">12. Limitations</w:t>
      </w:r>
    </w:p>
    <w:p>
      <w:pPr>
        <w:spacing w:after="120" w:line="276" w:lineRule="auto"/>
        <w:ind w:firstLine="567"/>
        <w:jc w:val="both"/>
      </w:pPr>
      <w:r>
        <w:rPr>
          <w:rFonts w:ascii="Times New Roman" w:cs="Times New Roman" w:eastAsia="SimSun" w:hAnsi="Times New Roman"/>
          <w:b/>
          <w:bCs/>
        </w:rPr>
        <w:t xml:space="preserve">Synthetic investors.</w:t>
      </w:r>
      <w:r>
        <w:rPr>
          <w:rFonts w:ascii="Times New Roman" w:cs="Times New Roman" w:eastAsia="SimSun" w:hAnsi="Times New Roman"/>
        </w:rPr>
        <w:t xml:space="preserve"> The clients are stylised descriptions delivered in one message, whereas real clients are vaguer and converse. This is close to a best case for tailoring, so the failures observed here probably understate those in practice.</w:t>
      </w:r>
    </w:p>
    <w:p>
      <w:pPr>
        <w:spacing w:after="120" w:line="276" w:lineRule="auto"/>
        <w:ind w:firstLine="567"/>
        <w:jc w:val="both"/>
      </w:pPr>
      <w:r>
        <w:rPr>
          <w:rFonts w:ascii="Times New Roman" w:cs="Times New Roman" w:eastAsia="SimSun" w:hAnsi="Times New Roman"/>
          <w:b/>
          <w:bCs/>
        </w:rPr>
        <w:t xml:space="preserve">One menu, one date, one window.</w:t>
      </w:r>
      <w:r>
        <w:rPr>
          <w:rFonts w:ascii="Times New Roman" w:cs="Times New Roman" w:eastAsia="SimSun" w:hAnsi="Times New Roman"/>
        </w:rPr>
        <w:t xml:space="preserve"> The menu is a single 23-fund shelf with ratings from one distributor on one date, and other distributors may rate the same funds differently. It contains no R5 fund, so the rating test is informative only for C1-C3 investors and H6 could be tested only with the equity caps. The back-test covers one 59-month window in which the bond and money market funds never lost more than 1.1% over twelve months, so the rarity of loss-tolerance breaches is partly a property of the period.</w:t>
      </w:r>
    </w:p>
    <w:p>
      <w:pPr>
        <w:spacing w:after="120" w:line="276" w:lineRule="auto"/>
        <w:ind w:firstLine="567"/>
        <w:jc w:val="both"/>
      </w:pPr>
      <w:r>
        <w:rPr>
          <w:rFonts w:ascii="Times New Roman" w:cs="Times New Roman" w:eastAsia="SimSun" w:hAnsi="Times New Roman"/>
          <w:b/>
          <w:bCs/>
        </w:rPr>
        <w:t xml:space="preserve">Models and access.</w:t>
      </w:r>
      <w:r>
        <w:rPr>
          <w:rFonts w:ascii="Times New Roman" w:cs="Times New Roman" w:eastAsia="SimSun" w:hAnsi="Times New Roman"/>
        </w:rPr>
        <w:t xml:space="preserve"> Hosted models change without notice and sample stochastically, so a later rerun may differ (Atil et al., 2024). The models were reached through OpenRouter rather than the course's Ark route, DeepSeek through a third-party provider and all with reasoning disabled, so the results describe the direct-answer behaviour of these deployments.</w:t>
      </w:r>
    </w:p>
    <w:p>
      <w:pPr>
        <w:spacing w:after="120" w:line="276" w:lineRule="auto"/>
        <w:ind w:firstLine="567"/>
        <w:jc w:val="both"/>
      </w:pPr>
      <w:r>
        <w:rPr>
          <w:rFonts w:ascii="Times New Roman" w:cs="Times New Roman" w:eastAsia="SimSun" w:hAnsi="Times New Roman"/>
          <w:b/>
          <w:bCs/>
        </w:rPr>
        <w:t xml:space="preserve">Prompts and benchmarks.</w:t>
      </w:r>
      <w:r>
        <w:rPr>
          <w:rFonts w:ascii="Times New Roman" w:cs="Times New Roman" w:eastAsia="SimSun" w:hAnsi="Times New Roman"/>
        </w:rPr>
        <w:t xml:space="preserve"> Each condition uses one wording and one menu order, so the protocol effect is that of this particular protocol (Sclar et al., 2024). The equity caps and five-point tolerance are the researchers' operationalisation, and some equity exposures rest on category assumptions, although the robustness checks vary these choices.</w:t>
      </w:r>
    </w:p>
    <w:p>
      <w:pPr>
        <w:spacing w:after="120" w:line="276" w:lineRule="auto"/>
        <w:ind w:firstLine="567"/>
        <w:jc w:val="both"/>
      </w:pPr>
      <w:r>
        <w:rPr>
          <w:rFonts w:ascii="Times New Roman" w:cs="Times New Roman" w:eastAsia="SimSun" w:hAnsi="Times New Roman"/>
          <w:b/>
          <w:bCs/>
        </w:rPr>
        <w:t xml:space="preserve">Coding and scope.</w:t>
      </w:r>
      <w:r>
        <w:rPr>
          <w:rFonts w:ascii="Times New Roman" w:cs="Times New Roman" w:eastAsia="SimSun" w:hAnsi="Times New Roman"/>
        </w:rPr>
        <w:t xml:space="preserve"> Conflict acknowledgement is coded with keyword rules and remains indicative until the planned manual validation (Appendix E) is complete. Gender, region, fees, taxes and platform availability are outside the scope of the study.</w:t>
      </w:r>
    </w:p>
    <w:p>
      <w:pPr>
        <w:pStyle w:val="Heading1"/>
        <w:keepNext/>
        <w:spacing w:after="160" w:before="240" w:line="276" w:lineRule="auto"/>
        <w:jc w:val="center"/>
      </w:pPr>
      <w:r>
        <w:rPr>
          <w:rFonts w:ascii="Times New Roman" w:cs="Times New Roman" w:eastAsia="SimSun" w:hAnsi="Times New Roman"/>
          <w:b/>
          <w:bCs/>
          <w:sz w:val="24"/>
          <w:szCs w:val="24"/>
        </w:rPr>
        <w:t xml:space="preserve">13. Conclusion</w:t>
      </w:r>
    </w:p>
    <w:p>
      <w:pPr>
        <w:spacing w:after="120" w:line="276" w:lineRule="auto"/>
        <w:ind w:firstLine="567"/>
        <w:jc w:val="both"/>
      </w:pPr>
      <w:r>
        <w:rPr>
          <w:rFonts w:ascii="Times New Roman" w:cs="Times New Roman" w:eastAsia="SimSun" w:hAnsi="Times New Roman"/>
        </w:rPr>
        <w:t xml:space="preserve">This study audited how three Chinese LLMs recommend public mutual funds to 200 synthetic investors whose age, risk tolerance and horizon were varied independently, with and without a suitability protocol in the prompt. Almost all 2,508 replies were executable portfolios drawn from the given menu. The models tailored their advice mainly to stated risk tolerance; horizon mattered mostly when the money was needed within a year, and age hardly at all. Under the baseline prompt, more than four in five recommendations to C1-C3 investors broke the product-risk matching rule although the ratings were in the prompt, and aggressive investors with short horizons received far more equity than their horizon justified. The suitability protocol reduced both problems in every model, most strongly for Kimi, but most C1-C3 investors advised by DeepSeek and Doubao still received a product above their ceiling, often after correct classification. Equity levels were stable across repeated queries while fund choices were not.</w:t>
      </w:r>
    </w:p>
    <w:p>
      <w:pPr>
        <w:spacing w:after="120" w:line="276" w:lineRule="auto"/>
        <w:ind w:firstLine="567"/>
        <w:jc w:val="both"/>
      </w:pPr>
      <w:r>
        <w:rPr>
          <w:rFonts w:ascii="Times New Roman" w:cs="Times New Roman" w:eastAsia="SimSun" w:hAnsi="Times New Roman"/>
        </w:rPr>
        <w:t xml:space="preserve">A general-purpose LLM can produce sensible-looking, diversified portfolios but cannot be relied on to apply a regulatory rule it has been told about. Suitability constraints belong in the system around the model, not only in its prompt. Future work should test conversational profiles, menus with R5 products, reasoning modes and stress-period back-tests.</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References</w:t>
      </w:r>
    </w:p>
    <w:p>
      <w:pPr>
        <w:spacing w:after="120" w:line="276" w:lineRule="auto"/>
        <w:ind w:left="720" w:hanging="720"/>
        <w:jc w:val="left"/>
      </w:pPr>
      <w:r>
        <w:rPr>
          <w:rFonts w:ascii="Times New Roman" w:cs="Times New Roman" w:eastAsia="SimSun" w:hAnsi="Times New Roman"/>
        </w:rPr>
        <w:t xml:space="preserve">Asset Management Association of China. (2017). </w:t>
      </w:r>
      <w:r>
        <w:rPr>
          <w:rFonts w:ascii="Times New Roman" w:cs="Times New Roman" w:eastAsia="SimSun" w:hAnsi="Times New Roman"/>
          <w:i/>
          <w:iCs/>
        </w:rPr>
        <w:t xml:space="preserve">基金募集机构投资者适当性管理实施指引（试行）</w:t>
      </w:r>
      <w:r>
        <w:rPr>
          <w:rFonts w:ascii="Times New Roman" w:cs="Times New Roman" w:eastAsia="SimSun" w:hAnsi="Times New Roman"/>
        </w:rPr>
        <w:t xml:space="preserve"> [Implementation guidelines for investor suitability management by fund distributors (trial)] (Zhongjixiefa [2017] No. 4).</w:t>
      </w:r>
    </w:p>
    <w:p>
      <w:pPr>
        <w:spacing w:after="120" w:line="276" w:lineRule="auto"/>
        <w:ind w:left="720" w:hanging="720"/>
        <w:jc w:val="left"/>
      </w:pPr>
      <w:r>
        <w:rPr>
          <w:rFonts w:ascii="Times New Roman" w:cs="Times New Roman" w:eastAsia="SimSun" w:hAnsi="Times New Roman"/>
        </w:rPr>
        <w:t xml:space="preserve">Atil, B., Chittams, A., Fu, L., Ture, F., Xu, L., &amp; Baldwin, B. (2024). </w:t>
      </w:r>
      <w:r>
        <w:rPr>
          <w:rFonts w:ascii="Times New Roman" w:cs="Times New Roman" w:eastAsia="SimSun" w:hAnsi="Times New Roman"/>
          <w:i/>
          <w:iCs/>
        </w:rPr>
        <w:t xml:space="preserve">LLM stability: A detailed analysis with some surprises</w:t>
      </w:r>
      <w:r>
        <w:rPr>
          <w:rFonts w:ascii="Times New Roman" w:cs="Times New Roman" w:eastAsia="SimSun" w:hAnsi="Times New Roman"/>
        </w:rPr>
        <w:t xml:space="preserve"> (arXiv:2408.04667). arXiv. https://doi.org/10.48550/arXiv.2408.04667</w:t>
      </w:r>
    </w:p>
    <w:p>
      <w:pPr>
        <w:spacing w:after="120" w:line="276" w:lineRule="auto"/>
        <w:ind w:left="720" w:hanging="720"/>
        <w:jc w:val="left"/>
      </w:pPr>
      <w:r>
        <w:rPr>
          <w:rFonts w:ascii="Times New Roman" w:cs="Times New Roman" w:eastAsia="SimSun" w:hAnsi="Times New Roman"/>
        </w:rPr>
        <w:t xml:space="preserve">Barbieri, S., Vargas, W., &amp; Ferraz, Á. L. R. (2026). </w:t>
      </w:r>
      <w:r>
        <w:rPr>
          <w:rFonts w:ascii="Times New Roman" w:cs="Times New Roman" w:eastAsia="SimSun" w:hAnsi="Times New Roman"/>
          <w:i/>
          <w:iCs/>
        </w:rPr>
        <w:t xml:space="preserve">Auditing AI investment recommendations as executable actions</w:t>
      </w:r>
      <w:r>
        <w:rPr>
          <w:rFonts w:ascii="Times New Roman" w:cs="Times New Roman" w:eastAsia="SimSun" w:hAnsi="Times New Roman"/>
        </w:rPr>
        <w:t xml:space="preserve"> (arXiv:2606.27570). arXiv. https://doi.org/10.48550/arXiv.2606.27570</w:t>
      </w:r>
    </w:p>
    <w:p>
      <w:pPr>
        <w:spacing w:after="120" w:line="276" w:lineRule="auto"/>
        <w:ind w:left="720" w:hanging="720"/>
        <w:jc w:val="left"/>
      </w:pPr>
      <w:r>
        <w:rPr>
          <w:rFonts w:ascii="Times New Roman" w:cs="Times New Roman" w:eastAsia="SimSun" w:hAnsi="Times New Roman"/>
        </w:rPr>
        <w:t xml:space="preserve">Bertrand, M., &amp; Mullainathan, S. (2004). Are Emily and Greg more employable than Lakisha and Jamal? A field experiment on labor market discrimination. </w:t>
      </w:r>
      <w:r>
        <w:rPr>
          <w:rFonts w:ascii="Times New Roman" w:cs="Times New Roman" w:eastAsia="SimSun" w:hAnsi="Times New Roman"/>
          <w:i/>
          <w:iCs/>
        </w:rPr>
        <w:t xml:space="preserve">American Economic Review, 94</w:t>
      </w:r>
      <w:r>
        <w:rPr>
          <w:rFonts w:ascii="Times New Roman" w:cs="Times New Roman" w:eastAsia="SimSun" w:hAnsi="Times New Roman"/>
        </w:rPr>
        <w:t xml:space="preserve">(4), 991-1013.</w:t>
      </w:r>
    </w:p>
    <w:p>
      <w:pPr>
        <w:spacing w:after="120" w:line="276" w:lineRule="auto"/>
        <w:ind w:left="720" w:hanging="720"/>
        <w:jc w:val="left"/>
      </w:pPr>
      <w:r>
        <w:rPr>
          <w:rFonts w:ascii="Times New Roman" w:cs="Times New Roman" w:eastAsia="SimSun" w:hAnsi="Times New Roman"/>
        </w:rPr>
        <w:t xml:space="preserve">Bodie, Z., Merton, R. C., &amp; Samuelson, W. F. (1992). Labor supply flexibility and portfolio choice in a life cycle model. </w:t>
      </w:r>
      <w:r>
        <w:rPr>
          <w:rFonts w:ascii="Times New Roman" w:cs="Times New Roman" w:eastAsia="SimSun" w:hAnsi="Times New Roman"/>
          <w:i/>
          <w:iCs/>
        </w:rPr>
        <w:t xml:space="preserve">Journal of Economic Dynamics and Control, 16</w:t>
      </w:r>
      <w:r>
        <w:rPr>
          <w:rFonts w:ascii="Times New Roman" w:cs="Times New Roman" w:eastAsia="SimSun" w:hAnsi="Times New Roman"/>
        </w:rPr>
        <w:t xml:space="preserve">(3-4), 427-450.</w:t>
      </w:r>
    </w:p>
    <w:p>
      <w:pPr>
        <w:spacing w:after="120" w:line="276" w:lineRule="auto"/>
        <w:ind w:left="720" w:hanging="720"/>
        <w:jc w:val="left"/>
      </w:pPr>
      <w:r>
        <w:rPr>
          <w:rFonts w:ascii="Times New Roman" w:cs="Times New Roman" w:eastAsia="SimSun" w:hAnsi="Times New Roman"/>
        </w:rPr>
        <w:t xml:space="preserve">Capponi, A., Ólafsson, S., &amp; Zariphopoulou, T. (2022). Personalized robo-advising: Enhancing investment through client interaction. </w:t>
      </w:r>
      <w:r>
        <w:rPr>
          <w:rFonts w:ascii="Times New Roman" w:cs="Times New Roman" w:eastAsia="SimSun" w:hAnsi="Times New Roman"/>
          <w:i/>
          <w:iCs/>
        </w:rPr>
        <w:t xml:space="preserve">Management Science, 68</w:t>
      </w:r>
      <w:r>
        <w:rPr>
          <w:rFonts w:ascii="Times New Roman" w:cs="Times New Roman" w:eastAsia="SimSun" w:hAnsi="Times New Roman"/>
        </w:rPr>
        <w:t xml:space="preserve">(4), 2485-2512. https://doi.org/10.1287/mnsc.2021.4014</w:t>
      </w:r>
    </w:p>
    <w:p>
      <w:pPr>
        <w:spacing w:after="120" w:line="276" w:lineRule="auto"/>
        <w:ind w:left="720" w:hanging="720"/>
        <w:jc w:val="left"/>
      </w:pPr>
      <w:r>
        <w:rPr>
          <w:rFonts w:ascii="Times New Roman" w:cs="Times New Roman" w:eastAsia="SimSun" w:hAnsi="Times New Roman"/>
        </w:rPr>
        <w:t xml:space="preserve">China Securities Regulatory Commission. (2020). </w:t>
      </w:r>
      <w:r>
        <w:rPr>
          <w:rFonts w:ascii="Times New Roman" w:cs="Times New Roman" w:eastAsia="SimSun" w:hAnsi="Times New Roman"/>
          <w:i/>
          <w:iCs/>
        </w:rPr>
        <w:t xml:space="preserve">证券期货投资者适当性管理办法</w:t>
      </w:r>
      <w:r>
        <w:rPr>
          <w:rFonts w:ascii="Times New Roman" w:cs="Times New Roman" w:eastAsia="SimSun" w:hAnsi="Times New Roman"/>
        </w:rPr>
        <w:t xml:space="preserve"> [Measures for the suitability management of securities and futures investors] (CSRC Order No. 130, issued 2016; amended by CSRC Order No. 177, 2020).</w:t>
      </w:r>
    </w:p>
    <w:p>
      <w:pPr>
        <w:spacing w:after="120" w:line="276" w:lineRule="auto"/>
        <w:ind w:left="720" w:hanging="720"/>
        <w:jc w:val="left"/>
      </w:pPr>
      <w:r>
        <w:rPr>
          <w:rFonts w:ascii="Times New Roman" w:cs="Times New Roman" w:eastAsia="SimSun" w:hAnsi="Times New Roman"/>
        </w:rPr>
        <w:t xml:space="preserve">Choukhmane, T., de Silva, T., Lin, W., &amp; Akuzawa, M. (2026). </w:t>
      </w:r>
      <w:r>
        <w:rPr>
          <w:rFonts w:ascii="Times New Roman" w:cs="Times New Roman" w:eastAsia="SimSun" w:hAnsi="Times New Roman"/>
          <w:i/>
          <w:iCs/>
        </w:rPr>
        <w:t xml:space="preserve">AI financial advice: Supply, demand, and life cycle implications</w:t>
      </w:r>
      <w:r>
        <w:rPr>
          <w:rFonts w:ascii="Times New Roman" w:cs="Times New Roman" w:eastAsia="SimSun" w:hAnsi="Times New Roman"/>
        </w:rPr>
        <w:t xml:space="preserve"> (NBER Working Paper No. 35574). National Bureau of Economic Research. https://www.nber.org/papers/w35574</w:t>
      </w:r>
    </w:p>
    <w:p>
      <w:pPr>
        <w:spacing w:after="120" w:line="276" w:lineRule="auto"/>
        <w:ind w:left="720" w:hanging="720"/>
        <w:jc w:val="left"/>
      </w:pPr>
      <w:r>
        <w:rPr>
          <w:rFonts w:ascii="Times New Roman" w:cs="Times New Roman" w:eastAsia="SimSun" w:hAnsi="Times New Roman"/>
        </w:rPr>
        <w:t xml:space="preserve">Cocco, J. F., Gomes, F. J., &amp; Maenhout, P. J. (2005). Consumption and portfolio choice over the life cycle. </w:t>
      </w:r>
      <w:r>
        <w:rPr>
          <w:rFonts w:ascii="Times New Roman" w:cs="Times New Roman" w:eastAsia="SimSun" w:hAnsi="Times New Roman"/>
          <w:i/>
          <w:iCs/>
        </w:rPr>
        <w:t xml:space="preserve">Review of Financial Studies, 18</w:t>
      </w:r>
      <w:r>
        <w:rPr>
          <w:rFonts w:ascii="Times New Roman" w:cs="Times New Roman" w:eastAsia="SimSun" w:hAnsi="Times New Roman"/>
        </w:rPr>
        <w:t xml:space="preserve">(2), 491-533. https://doi.org/10.1093/rfs/hhi017</w:t>
      </w:r>
    </w:p>
    <w:p>
      <w:pPr>
        <w:spacing w:after="120" w:line="276" w:lineRule="auto"/>
        <w:ind w:left="720" w:hanging="720"/>
        <w:jc w:val="left"/>
      </w:pPr>
      <w:r>
        <w:rPr>
          <w:rFonts w:ascii="Times New Roman" w:cs="Times New Roman" w:eastAsia="SimSun" w:hAnsi="Times New Roman"/>
        </w:rPr>
        <w:t xml:space="preserve">Cohen, J. (1988). </w:t>
      </w:r>
      <w:r>
        <w:rPr>
          <w:rFonts w:ascii="Times New Roman" w:cs="Times New Roman" w:eastAsia="SimSun" w:hAnsi="Times New Roman"/>
          <w:i/>
          <w:iCs/>
        </w:rPr>
        <w:t xml:space="preserve">Statistical power analysis for the behavioral sciences</w:t>
      </w:r>
      <w:r>
        <w:rPr>
          <w:rFonts w:ascii="Times New Roman" w:cs="Times New Roman" w:eastAsia="SimSun" w:hAnsi="Times New Roman"/>
        </w:rPr>
        <w:t xml:space="preserve"> (2nd ed.). Lawrence Erlbaum Associates.</w:t>
      </w:r>
    </w:p>
    <w:p>
      <w:pPr>
        <w:spacing w:after="120" w:line="276" w:lineRule="auto"/>
        <w:ind w:left="720" w:hanging="720"/>
        <w:jc w:val="left"/>
      </w:pPr>
      <w:r>
        <w:rPr>
          <w:rFonts w:ascii="Times New Roman" w:cs="Times New Roman" w:eastAsia="SimSun" w:hAnsi="Times New Roman"/>
        </w:rPr>
        <w:t xml:space="preserve">D'Acunto, F., Prabhala, N., &amp; Rossi, A. G. (2019). The promises and pitfalls of robo-advising. </w:t>
      </w:r>
      <w:r>
        <w:rPr>
          <w:rFonts w:ascii="Times New Roman" w:cs="Times New Roman" w:eastAsia="SimSun" w:hAnsi="Times New Roman"/>
          <w:i/>
          <w:iCs/>
        </w:rPr>
        <w:t xml:space="preserve">Review of Financial Studies, 32</w:t>
      </w:r>
      <w:r>
        <w:rPr>
          <w:rFonts w:ascii="Times New Roman" w:cs="Times New Roman" w:eastAsia="SimSun" w:hAnsi="Times New Roman"/>
        </w:rPr>
        <w:t xml:space="preserve">(5), 1983-2020. https://doi.org/10.1093/rfs/hhz014</w:t>
      </w:r>
    </w:p>
    <w:p>
      <w:pPr>
        <w:spacing w:after="120" w:line="276" w:lineRule="auto"/>
        <w:ind w:left="720" w:hanging="720"/>
        <w:jc w:val="left"/>
      </w:pPr>
      <w:r>
        <w:rPr>
          <w:rFonts w:ascii="Times New Roman" w:cs="Times New Roman" w:eastAsia="SimSun" w:hAnsi="Times New Roman"/>
        </w:rPr>
        <w:t xml:space="preserve">Fieberg, C., Hornuf, L., Meiler, M., &amp; Streich, D. J. (2025). </w:t>
      </w:r>
      <w:r>
        <w:rPr>
          <w:rFonts w:ascii="Times New Roman" w:cs="Times New Roman" w:eastAsia="SimSun" w:hAnsi="Times New Roman"/>
          <w:i/>
          <w:iCs/>
        </w:rPr>
        <w:t xml:space="preserve">Using large language models for financial advice</w:t>
      </w:r>
      <w:r>
        <w:rPr>
          <w:rFonts w:ascii="Times New Roman" w:cs="Times New Roman" w:eastAsia="SimSun" w:hAnsi="Times New Roman"/>
        </w:rPr>
        <w:t xml:space="preserve"> (CESifo Working Paper No. 11666). CESifo.</w:t>
      </w:r>
    </w:p>
    <w:p>
      <w:pPr>
        <w:spacing w:after="120" w:line="276" w:lineRule="auto"/>
        <w:ind w:left="720" w:hanging="720"/>
        <w:jc w:val="left"/>
      </w:pPr>
      <w:r>
        <w:rPr>
          <w:rFonts w:ascii="Times New Roman" w:cs="Times New Roman" w:eastAsia="SimSun" w:hAnsi="Times New Roman"/>
        </w:rPr>
        <w:t xml:space="preserve">Foerster, S., Linnainmaa, J. T., Melzer, B. T., &amp; Previtero, A. (2017). Retail financial advice: Does one size fit all? </w:t>
      </w:r>
      <w:r>
        <w:rPr>
          <w:rFonts w:ascii="Times New Roman" w:cs="Times New Roman" w:eastAsia="SimSun" w:hAnsi="Times New Roman"/>
          <w:i/>
          <w:iCs/>
        </w:rPr>
        <w:t xml:space="preserve">Journal of Finance, 72</w:t>
      </w:r>
      <w:r>
        <w:rPr>
          <w:rFonts w:ascii="Times New Roman" w:cs="Times New Roman" w:eastAsia="SimSun" w:hAnsi="Times New Roman"/>
        </w:rPr>
        <w:t xml:space="preserve">(4), 1441-1482.</w:t>
      </w:r>
    </w:p>
    <w:p>
      <w:pPr>
        <w:spacing w:after="120" w:line="276" w:lineRule="auto"/>
        <w:ind w:left="720" w:hanging="720"/>
        <w:jc w:val="left"/>
      </w:pPr>
      <w:r>
        <w:rPr>
          <w:rFonts w:ascii="Times New Roman" w:cs="Times New Roman" w:eastAsia="SimSun" w:hAnsi="Times New Roman"/>
        </w:rPr>
        <w:t xml:space="preserve">Foltyn, R., &amp; Olsson, J. (2026). </w:t>
      </w:r>
      <w:r>
        <w:rPr>
          <w:rFonts w:ascii="Times New Roman" w:cs="Times New Roman" w:eastAsia="SimSun" w:hAnsi="Times New Roman"/>
          <w:i/>
          <w:iCs/>
        </w:rPr>
        <w:t xml:space="preserve">The worth of a "wo": Gender bias in financial advice from LLMs</w:t>
      </w:r>
      <w:r>
        <w:rPr>
          <w:rFonts w:ascii="Times New Roman" w:cs="Times New Roman" w:eastAsia="SimSun" w:hAnsi="Times New Roman"/>
        </w:rPr>
        <w:t xml:space="preserve"> (Discussion Paper No. 4/2026). Norwegian School of Economics, Department of Economics.</w:t>
      </w:r>
    </w:p>
    <w:p>
      <w:pPr>
        <w:spacing w:after="120" w:line="276" w:lineRule="auto"/>
        <w:ind w:left="720" w:hanging="720"/>
        <w:jc w:val="left"/>
      </w:pPr>
      <w:r>
        <w:rPr>
          <w:rFonts w:ascii="Times New Roman" w:cs="Times New Roman" w:eastAsia="SimSun" w:hAnsi="Times New Roman"/>
        </w:rPr>
        <w:t xml:space="preserve">Gennaioli, N., Shleifer, A., &amp; Vishny, R. (2015). Money doctors. </w:t>
      </w:r>
      <w:r>
        <w:rPr>
          <w:rFonts w:ascii="Times New Roman" w:cs="Times New Roman" w:eastAsia="SimSun" w:hAnsi="Times New Roman"/>
          <w:i/>
          <w:iCs/>
        </w:rPr>
        <w:t xml:space="preserve">Journal of Finance, 70</w:t>
      </w:r>
      <w:r>
        <w:rPr>
          <w:rFonts w:ascii="Times New Roman" w:cs="Times New Roman" w:eastAsia="SimSun" w:hAnsi="Times New Roman"/>
        </w:rPr>
        <w:t xml:space="preserve">(1), 91-114.</w:t>
      </w:r>
    </w:p>
    <w:p>
      <w:pPr>
        <w:spacing w:after="120" w:line="276" w:lineRule="auto"/>
        <w:ind w:left="720" w:hanging="720"/>
        <w:jc w:val="left"/>
      </w:pPr>
      <w:r>
        <w:rPr>
          <w:rFonts w:ascii="Times New Roman" w:cs="Times New Roman" w:eastAsia="SimSun" w:hAnsi="Times New Roman"/>
        </w:rPr>
        <w:t xml:space="preserve">Grable, J. E., &amp; Lytton, R. H. (1999). Financial risk tolerance revisited: The development of a risk assessment instrument. </w:t>
      </w:r>
      <w:r>
        <w:rPr>
          <w:rFonts w:ascii="Times New Roman" w:cs="Times New Roman" w:eastAsia="SimSun" w:hAnsi="Times New Roman"/>
          <w:i/>
          <w:iCs/>
        </w:rPr>
        <w:t xml:space="preserve">Financial Services Review, 8</w:t>
      </w:r>
      <w:r>
        <w:rPr>
          <w:rFonts w:ascii="Times New Roman" w:cs="Times New Roman" w:eastAsia="SimSun" w:hAnsi="Times New Roman"/>
        </w:rPr>
        <w:t xml:space="preserve">, 163-181.</w:t>
      </w:r>
    </w:p>
    <w:p>
      <w:pPr>
        <w:spacing w:after="120" w:line="276" w:lineRule="auto"/>
        <w:ind w:left="720" w:hanging="720"/>
        <w:jc w:val="left"/>
      </w:pPr>
      <w:r>
        <w:rPr>
          <w:rFonts w:ascii="Times New Roman" w:cs="Times New Roman" w:eastAsia="SimSun" w:hAnsi="Times New Roman"/>
        </w:rPr>
        <w:t xml:space="preserve">Holm, S. (1979). A simple sequentially rejective multiple test procedure. </w:t>
      </w:r>
      <w:r>
        <w:rPr>
          <w:rFonts w:ascii="Times New Roman" w:cs="Times New Roman" w:eastAsia="SimSun" w:hAnsi="Times New Roman"/>
          <w:i/>
          <w:iCs/>
        </w:rPr>
        <w:t xml:space="preserve">Scandinavian Journal of Statistics, 6</w:t>
      </w:r>
      <w:r>
        <w:rPr>
          <w:rFonts w:ascii="Times New Roman" w:cs="Times New Roman" w:eastAsia="SimSun" w:hAnsi="Times New Roman"/>
        </w:rPr>
        <w:t xml:space="preserve">(2), 65-70.</w:t>
      </w:r>
    </w:p>
    <w:p>
      <w:pPr>
        <w:spacing w:after="120" w:line="276" w:lineRule="auto"/>
        <w:ind w:left="720" w:hanging="720"/>
        <w:jc w:val="left"/>
      </w:pPr>
      <w:r>
        <w:rPr>
          <w:rFonts w:ascii="Times New Roman" w:cs="Times New Roman" w:eastAsia="SimSun" w:hAnsi="Times New Roman"/>
        </w:rPr>
        <w:t xml:space="preserve">Ji, Z., Lee, N., Frieske, R., Yu, T., Su, D., Xu, Y., Ishii, E., Bang, Y. J., Dai, W., Madotto, A., &amp; Fung, P. (2023). Survey of hallucination in natural language generation. </w:t>
      </w:r>
      <w:r>
        <w:rPr>
          <w:rFonts w:ascii="Times New Roman" w:cs="Times New Roman" w:eastAsia="SimSun" w:hAnsi="Times New Roman"/>
          <w:i/>
          <w:iCs/>
        </w:rPr>
        <w:t xml:space="preserve">ACM Computing Surveys, 55</w:t>
      </w:r>
      <w:r>
        <w:rPr>
          <w:rFonts w:ascii="Times New Roman" w:cs="Times New Roman" w:eastAsia="SimSun" w:hAnsi="Times New Roman"/>
        </w:rPr>
        <w:t xml:space="preserve">(12), Article 248.</w:t>
      </w:r>
    </w:p>
    <w:p>
      <w:pPr>
        <w:spacing w:after="120" w:line="276" w:lineRule="auto"/>
        <w:ind w:left="720" w:hanging="720"/>
        <w:jc w:val="left"/>
      </w:pPr>
      <w:r>
        <w:rPr>
          <w:rFonts w:ascii="Times New Roman" w:cs="Times New Roman" w:eastAsia="SimSun" w:hAnsi="Times New Roman"/>
        </w:rPr>
        <w:t xml:space="preserve">Koo, T. K., &amp; Li, M. Y. (2016). A guideline of selecting and reporting intraclass correlation coefficients for reliability research. </w:t>
      </w:r>
      <w:r>
        <w:rPr>
          <w:rFonts w:ascii="Times New Roman" w:cs="Times New Roman" w:eastAsia="SimSun" w:hAnsi="Times New Roman"/>
          <w:i/>
          <w:iCs/>
        </w:rPr>
        <w:t xml:space="preserve">Journal of Chiropractic Medicine, 15</w:t>
      </w:r>
      <w:r>
        <w:rPr>
          <w:rFonts w:ascii="Times New Roman" w:cs="Times New Roman" w:eastAsia="SimSun" w:hAnsi="Times New Roman"/>
        </w:rPr>
        <w:t xml:space="preserve">(2), 155-163. https://doi.org/10.1016/j.jcm.2016.02.012</w:t>
      </w:r>
    </w:p>
    <w:p>
      <w:pPr>
        <w:spacing w:after="120" w:line="276" w:lineRule="auto"/>
        <w:ind w:left="720" w:hanging="720"/>
        <w:jc w:val="left"/>
      </w:pPr>
      <w:r>
        <w:rPr>
          <w:rFonts w:ascii="Times New Roman" w:cs="Times New Roman" w:eastAsia="SimSun" w:hAnsi="Times New Roman"/>
        </w:rPr>
        <w:t xml:space="preserve">Lo, A. W., &amp; Ross, J. (2024). Can ChatGPT plan your retirement?: Generative AI and financial advice. </w:t>
      </w:r>
      <w:r>
        <w:rPr>
          <w:rFonts w:ascii="Times New Roman" w:cs="Times New Roman" w:eastAsia="SimSun" w:hAnsi="Times New Roman"/>
          <w:i/>
          <w:iCs/>
        </w:rPr>
        <w:t xml:space="preserve">Harvard Data Science Review</w:t>
      </w:r>
      <w:r>
        <w:rPr>
          <w:rFonts w:ascii="Times New Roman" w:cs="Times New Roman" w:eastAsia="SimSun" w:hAnsi="Times New Roman"/>
        </w:rPr>
        <w:t xml:space="preserve">. https://hdsr.mitpress.mit.edu/pub/jnml28pl</w:t>
      </w:r>
    </w:p>
    <w:p>
      <w:pPr>
        <w:spacing w:after="120" w:line="276" w:lineRule="auto"/>
        <w:ind w:left="720" w:hanging="720"/>
        <w:jc w:val="left"/>
      </w:pPr>
      <w:r>
        <w:rPr>
          <w:rFonts w:ascii="Times New Roman" w:cs="Times New Roman" w:eastAsia="SimSun" w:hAnsi="Times New Roman"/>
        </w:rPr>
        <w:t xml:space="preserve">Mullainathan, S., Noeth, M., &amp; Schoar, A. (2012). </w:t>
      </w:r>
      <w:r>
        <w:rPr>
          <w:rFonts w:ascii="Times New Roman" w:cs="Times New Roman" w:eastAsia="SimSun" w:hAnsi="Times New Roman"/>
          <w:i/>
          <w:iCs/>
        </w:rPr>
        <w:t xml:space="preserve">The market for financial advice: An audit study</w:t>
      </w:r>
      <w:r>
        <w:rPr>
          <w:rFonts w:ascii="Times New Roman" w:cs="Times New Roman" w:eastAsia="SimSun" w:hAnsi="Times New Roman"/>
        </w:rPr>
        <w:t xml:space="preserve"> (NBER Working Paper No. 17929). National Bureau of Economic Research. https://www.nber.org/papers/w17929</w:t>
      </w:r>
    </w:p>
    <w:p>
      <w:pPr>
        <w:spacing w:after="120" w:line="276" w:lineRule="auto"/>
        <w:ind w:left="720" w:hanging="720"/>
        <w:jc w:val="left"/>
      </w:pPr>
      <w:r>
        <w:rPr>
          <w:rFonts w:ascii="Times New Roman" w:cs="Times New Roman" w:eastAsia="SimSun" w:hAnsi="Times New Roman"/>
        </w:rPr>
        <w:t xml:space="preserve">Niszczota, P., &amp; Abbas, S. (2023). GPT has become financially literate: Insights from financial literacy tests of GPT and a preliminary test of how people use it as a source of advice. </w:t>
      </w:r>
      <w:r>
        <w:rPr>
          <w:rFonts w:ascii="Times New Roman" w:cs="Times New Roman" w:eastAsia="SimSun" w:hAnsi="Times New Roman"/>
          <w:i/>
          <w:iCs/>
        </w:rPr>
        <w:t xml:space="preserve">Finance Research Letters, 58</w:t>
      </w:r>
      <w:r>
        <w:rPr>
          <w:rFonts w:ascii="Times New Roman" w:cs="Times New Roman" w:eastAsia="SimSun" w:hAnsi="Times New Roman"/>
        </w:rPr>
        <w:t xml:space="preserve">, Article 104333. https://doi.org/10.1016/j.frl.2023.104333</w:t>
      </w:r>
    </w:p>
    <w:p>
      <w:pPr>
        <w:spacing w:after="120" w:line="276" w:lineRule="auto"/>
        <w:ind w:left="720" w:hanging="720"/>
        <w:jc w:val="left"/>
      </w:pPr>
      <w:r>
        <w:rPr>
          <w:rFonts w:ascii="Times New Roman" w:cs="Times New Roman" w:eastAsia="SimSun" w:hAnsi="Times New Roman"/>
        </w:rPr>
        <w:t xml:space="preserve">Oehler, A., &amp; Horn, M. (2024). Does ChatGPT provide better advice than robo-advisors? </w:t>
      </w:r>
      <w:r>
        <w:rPr>
          <w:rFonts w:ascii="Times New Roman" w:cs="Times New Roman" w:eastAsia="SimSun" w:hAnsi="Times New Roman"/>
          <w:i/>
          <w:iCs/>
        </w:rPr>
        <w:t xml:space="preserve">Finance Research Letters, 60</w:t>
      </w:r>
      <w:r>
        <w:rPr>
          <w:rFonts w:ascii="Times New Roman" w:cs="Times New Roman" w:eastAsia="SimSun" w:hAnsi="Times New Roman"/>
        </w:rPr>
        <w:t xml:space="preserve">, Article 104898. https://doi.org/10.1016/j.frl.2023.104898</w:t>
      </w:r>
    </w:p>
    <w:p>
      <w:pPr>
        <w:spacing w:after="120" w:line="276" w:lineRule="auto"/>
        <w:ind w:left="720" w:hanging="720"/>
        <w:jc w:val="left"/>
      </w:pPr>
      <w:r>
        <w:rPr>
          <w:rFonts w:ascii="Times New Roman" w:cs="Times New Roman" w:eastAsia="SimSun" w:hAnsi="Times New Roman"/>
        </w:rPr>
        <w:t xml:space="preserve">Ross, J., &amp; Lo, A. W. (2026, April 27). </w:t>
      </w:r>
      <w:r>
        <w:rPr>
          <w:rFonts w:ascii="Times New Roman" w:cs="Times New Roman" w:eastAsia="SimSun" w:hAnsi="Times New Roman"/>
          <w:i/>
          <w:iCs/>
        </w:rPr>
        <w:t xml:space="preserve">One size fits none: Do LLMs provide suitable financial advice?</w:t>
      </w:r>
      <w:r>
        <w:rPr>
          <w:rFonts w:ascii="Times New Roman" w:cs="Times New Roman" w:eastAsia="SimSun" w:hAnsi="Times New Roman"/>
        </w:rPr>
        <w:t xml:space="preserve"> [Spotlight presentation]. 2nd Workshop on Advances in Financial AI, International Conference on Learning Representations (ICLR 2026). https://iclr.cc/virtual/2026/10016482</w:t>
      </w:r>
    </w:p>
    <w:p>
      <w:pPr>
        <w:spacing w:after="120" w:line="276" w:lineRule="auto"/>
        <w:ind w:left="720" w:hanging="720"/>
        <w:jc w:val="left"/>
      </w:pPr>
      <w:r>
        <w:rPr>
          <w:rFonts w:ascii="Times New Roman" w:cs="Times New Roman" w:eastAsia="SimSun" w:hAnsi="Times New Roman"/>
        </w:rPr>
        <w:t xml:space="preserve">Sclar, M., Choi, Y., Tsvetkov, Y., &amp; Suhr, A. (2024). Quantifying language models' sensitivity to spurious features in prompt design or: How I learned to start worrying about prompt formatting. In </w:t>
      </w:r>
      <w:r>
        <w:rPr>
          <w:rFonts w:ascii="Times New Roman" w:cs="Times New Roman" w:eastAsia="SimSun" w:hAnsi="Times New Roman"/>
          <w:i/>
          <w:iCs/>
        </w:rPr>
        <w:t xml:space="preserve">Proceedings of the Twelfth International Conference on Learning Representations (ICLR 2024)</w:t>
      </w:r>
      <w:r>
        <w:rPr>
          <w:rFonts w:ascii="Times New Roman" w:cs="Times New Roman" w:eastAsia="SimSun" w:hAnsi="Times New Roman"/>
        </w:rPr>
        <w:t xml:space="preserve">. https://doi.org/10.48550/arXiv.2310.11324</w:t>
      </w:r>
    </w:p>
    <w:p>
      <w:pPr>
        <w:spacing w:after="120" w:line="276" w:lineRule="auto"/>
        <w:ind w:left="720" w:hanging="720"/>
        <w:jc w:val="left"/>
      </w:pPr>
      <w:r>
        <w:rPr>
          <w:rFonts w:ascii="Times New Roman" w:cs="Times New Roman" w:eastAsia="SimSun" w:hAnsi="Times New Roman"/>
        </w:rPr>
        <w:t xml:space="preserve">Sharma, M., Tong, M., Korbak, T., Duvenaud, D., Askell, A., Bowman, S. R., Cheng, N., Durmus, E., Hatfield-Dodds, Z., Johnston, S. R., Kravec, S., Maxwell, T., McCandlish, S., Ndousse, K., Rausch, O., Schiefer, N., Yan, D., Zhang, M., &amp; Perez, E. (2024). Towards understanding sycophancy in language models. In </w:t>
      </w:r>
      <w:r>
        <w:rPr>
          <w:rFonts w:ascii="Times New Roman" w:cs="Times New Roman" w:eastAsia="SimSun" w:hAnsi="Times New Roman"/>
          <w:i/>
          <w:iCs/>
        </w:rPr>
        <w:t xml:space="preserve">Proceedings of the Twelfth International Conference on Learning Representations (ICLR 2024)</w:t>
      </w:r>
      <w:r>
        <w:rPr>
          <w:rFonts w:ascii="Times New Roman" w:cs="Times New Roman" w:eastAsia="SimSun" w:hAnsi="Times New Roman"/>
        </w:rPr>
        <w:t xml:space="preserve">. https://doi.org/10.48550/arXiv.2310.13548</w:t>
      </w:r>
    </w:p>
    <w:p>
      <w:pPr>
        <w:keepNext/>
        <w:spacing w:after="120" w:before="240" w:line="276" w:lineRule="auto"/>
      </w:pPr>
      <w:r>
        <w:rPr>
          <w:rFonts w:ascii="Times New Roman" w:cs="Times New Roman" w:eastAsia="SimSun" w:hAnsi="Times New Roman"/>
          <w:b/>
          <w:bCs/>
        </w:rPr>
        <w:t xml:space="preserve">Data sources (cited in the method and in table notes)</w:t>
      </w:r>
    </w:p>
    <w:p>
      <w:pPr>
        <w:spacing w:after="120" w:line="276" w:lineRule="auto"/>
        <w:ind w:left="720" w:hanging="720"/>
        <w:jc w:val="left"/>
      </w:pPr>
      <w:r>
        <w:rPr>
          <w:rFonts w:ascii="Times New Roman" w:cs="Times New Roman" w:eastAsia="SimSun" w:hAnsi="Times New Roman"/>
        </w:rPr>
        <w:t xml:space="preserve">Fund identity checks: fund-manager key facts statements and periodic reports indexed by 10jqka.com.cn, howbuy.com, lixinger.com, cfi.cn and finance.sina.com.cn (retrieved 22 October 2026; URLs in `data/fund_menu_candidates.csv`). Product risk ratings and reported stock shares: Eastmoney / Tiantian Fund (fundmobapi.eastmoney.com and fund.eastmoney.com, retrieved 23 October 2026; `data/fund_menu_verification.csv`). Adjusted NAV history: course data service, Tonghuashun financial data API (https://fuyao.aicubes.cn/docs/api-reference/overview/; `data/nav/_manifest.csv`).</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A. Investor Profile Examples</w:t>
      </w:r>
    </w:p>
    <w:p>
      <w:pPr>
        <w:spacing w:after="120" w:line="276" w:lineRule="auto"/>
        <w:ind w:firstLine="567"/>
        <w:jc w:val="both"/>
      </w:pPr>
      <w:r>
        <w:rPr>
          <w:rFonts w:ascii="Times New Roman" w:cs="Times New Roman" w:eastAsia="SimSun" w:hAnsi="Times New Roman"/>
        </w:rPr>
        <w:t xml:space="preserve">The text below is exactly what the models receive after the words "Here is my situation:" for a deliberate conflict case, a very aggressive student who needs the money within a year. Risk class codes are never shown to the models.</w:t>
      </w:r>
    </w:p>
    <w:p>
      <w:pPr>
        <w:spacing w:after="120" w:line="276" w:lineRule="auto"/>
        <w:ind w:firstLine="567"/>
        <w:jc w:val="both"/>
      </w:pPr>
      <w:r>
        <w:rPr>
          <w:rFonts w:ascii="Times New Roman" w:cs="Times New Roman" w:eastAsia="SimSun" w:hAnsi="Times New Roman"/>
          <w:b/>
          <w:bCs/>
        </w:rPr>
        <w:t xml:space="preserve">INV-098</w:t>
      </w:r>
      <w:r>
        <w:rPr>
          <w:rFonts w:ascii="Times New Roman" w:cs="Times New Roman" w:eastAsia="SimSun" w:hAnsi="Times New Roman"/>
        </w:rPr>
        <w:t xml:space="preserve"> (H1-C5-A1)</w:t>
      </w:r>
    </w:p>
    <w:p>
      <w:pPr>
        <w:shd w:fill="F5F5F5" w:color="auto" w:val="clear"/>
        <w:spacing w:line="276" w:lineRule="auto"/>
        <w:ind w:left="360"/>
      </w:pPr>
      <w:r>
        <w:rPr>
          <w:rFonts w:ascii="Times New Roman" w:cs="Times New Roman" w:eastAsia="SimSun" w:hAnsi="Times New Roman"/>
          <w:sz w:val="20"/>
          <w:szCs w:val="20"/>
        </w:rPr>
        <w:t xml:space="preserve">Age: 21</w:t>
      </w:r>
    </w:p>
    <w:p>
      <w:pPr>
        <w:shd w:fill="F5F5F5" w:color="auto" w:val="clear"/>
        <w:spacing w:line="276" w:lineRule="auto"/>
        <w:ind w:left="360"/>
      </w:pPr>
      <w:r>
        <w:rPr>
          <w:rFonts w:ascii="Times New Roman" w:cs="Times New Roman" w:eastAsia="SimSun" w:hAnsi="Times New Roman"/>
          <w:sz w:val="20"/>
          <w:szCs w:val="20"/>
        </w:rPr>
        <w:t xml:space="preserve">Employment and income: University student with part-time income (variable income)</w:t>
      </w:r>
    </w:p>
    <w:p>
      <w:pPr>
        <w:shd w:fill="F5F5F5" w:color="auto" w:val="clear"/>
        <w:spacing w:line="276" w:lineRule="auto"/>
        <w:ind w:left="360"/>
      </w:pPr>
      <w:r>
        <w:rPr>
          <w:rFonts w:ascii="Times New Roman" w:cs="Times New Roman" w:eastAsia="SimSun" w:hAnsi="Times New Roman"/>
          <w:sz w:val="20"/>
          <w:szCs w:val="20"/>
        </w:rPr>
        <w:t xml:space="preserve">Amount to invest: CNY 55,000</w:t>
      </w:r>
    </w:p>
    <w:p>
      <w:pPr>
        <w:shd w:fill="F5F5F5" w:color="auto" w:val="clear"/>
        <w:spacing w:line="276" w:lineRule="auto"/>
        <w:ind w:left="360"/>
      </w:pPr>
      <w:r>
        <w:rPr>
          <w:rFonts w:ascii="Times New Roman" w:cs="Times New Roman" w:eastAsia="SimSun" w:hAnsi="Times New Roman"/>
          <w:sz w:val="20"/>
          <w:szCs w:val="20"/>
        </w:rPr>
        <w:t xml:space="preserve">Investment objective: I want to set aside money for a planned purchase this year, such as a car.</w:t>
      </w:r>
    </w:p>
    <w:p>
      <w:pPr>
        <w:shd w:fill="F5F5F5" w:color="auto" w:val="clear"/>
        <w:spacing w:line="276" w:lineRule="auto"/>
        <w:ind w:left="360"/>
      </w:pPr>
      <w:r>
        <w:rPr>
          <w:rFonts w:ascii="Times New Roman" w:cs="Times New Roman" w:eastAsia="SimSun" w:hAnsi="Times New Roman"/>
          <w:sz w:val="20"/>
          <w:szCs w:val="20"/>
        </w:rPr>
        <w:t xml:space="preserve">Investment horizon: about 9 months; I do not expect to withdraw this money before then.</w:t>
      </w:r>
    </w:p>
    <w:p>
      <w:pPr>
        <w:shd w:fill="F5F5F5" w:color="auto" w:val="clear"/>
        <w:spacing w:line="276" w:lineRule="auto"/>
        <w:ind w:left="360"/>
      </w:pPr>
      <w:r>
        <w:rPr>
          <w:rFonts w:ascii="Times New Roman" w:cs="Times New Roman" w:eastAsia="SimSun" w:hAnsi="Times New Roman"/>
          <w:sz w:val="20"/>
          <w:szCs w:val="20"/>
        </w:rPr>
        <w:t xml:space="preserve">Liquidity need: high - I will need to withdraw most of this money at the end of the horizon.</w:t>
      </w:r>
    </w:p>
    <w:p>
      <w:pPr>
        <w:shd w:fill="F5F5F5" w:color="auto" w:val="clear"/>
        <w:spacing w:line="276" w:lineRule="auto"/>
        <w:ind w:left="360"/>
      </w:pPr>
      <w:r>
        <w:rPr>
          <w:rFonts w:ascii="Times New Roman" w:cs="Times New Roman" w:eastAsia="SimSun" w:hAnsi="Times New Roman"/>
          <w:sz w:val="20"/>
          <w:szCs w:val="20"/>
        </w:rPr>
        <w:t xml:space="preserve">Risk tolerance: Very aggressive. I can accept a temporary decline of 40% or more in a year. My priority is the highest possible long-term return. If the stock market fell by 20%, I would invest substantially more.</w:t>
      </w:r>
    </w:p>
    <w:p>
      <w:pPr>
        <w:shd w:fill="F5F5F5" w:color="auto" w:val="clear"/>
        <w:spacing w:line="276" w:lineRule="auto"/>
        <w:ind w:left="360"/>
      </w:pPr>
      <w:r>
        <w:rPr>
          <w:rFonts w:ascii="Times New Roman" w:cs="Times New Roman" w:eastAsia="SimSun" w:hAnsi="Times New Roman"/>
          <w:sz w:val="20"/>
          <w:szCs w:val="20"/>
        </w:rPr>
        <w:t xml:space="preserve">Investment experience: no previous investment experience.</w:t>
      </w:r>
    </w:p>
    <w:p>
      <w:pPr>
        <w:shd w:fill="F5F5F5" w:color="auto" w:val="clear"/>
        <w:spacing w:line="276" w:lineRule="auto"/>
        <w:ind w:left="360"/>
      </w:pPr>
      <w:r>
        <w:rPr>
          <w:rFonts w:ascii="Times New Roman" w:cs="Times New Roman" w:eastAsia="SimSun" w:hAnsi="Times New Roman"/>
          <w:sz w:val="20"/>
          <w:szCs w:val="20"/>
        </w:rPr>
        <w:t xml:space="preserve">Emergency savings: kept separately and not part of this investment.</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Probe example.</w:t>
      </w:r>
      <w:r>
        <w:rPr>
          <w:rFonts w:ascii="Times New Roman" w:cs="Times New Roman" w:eastAsia="SimSun" w:hAnsi="Times New Roman"/>
        </w:rPr>
        <w:t xml:space="preserve"> Version PRB-03-RISK-C1 differs from its anchor PRB-03 only in the risk-tolerance line, shown below.</w:t>
      </w:r>
    </w:p>
    <w:p>
      <w:pPr>
        <w:shd w:fill="F5F5F5" w:color="auto" w:val="clear"/>
        <w:spacing w:line="276" w:lineRule="auto"/>
        <w:ind w:left="360"/>
      </w:pPr>
      <w:r>
        <w:rPr>
          <w:rFonts w:ascii="Times New Roman" w:cs="Times New Roman" w:eastAsia="SimSun" w:hAnsi="Times New Roman"/>
          <w:sz w:val="20"/>
          <w:szCs w:val="20"/>
        </w:rPr>
        <w:t xml:space="preserve">Risk tolerance: Very conservative. I am not willing to accept any loss of the money I invest. My priority is protecting the capital I invest. If the stock market fell by 20%, I would sell all of my investments.</w:t>
      </w:r>
    </w:p>
    <w:p>
      <w:pPr>
        <w:spacing w:after="120" w:before="0" w:line="276" w:lineRule="auto"/>
        <w:jc w:val="left"/>
      </w:pP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B. Sample Validation Checks</w:t>
      </w:r>
    </w:p>
    <w:p>
      <w:pPr>
        <w:spacing w:after="120" w:line="276" w:lineRule="auto"/>
        <w:ind w:firstLine="567"/>
        <w:jc w:val="both"/>
      </w:pPr>
      <w:r>
        <w:rPr>
          <w:rFonts w:ascii="Times New Roman" w:cs="Times New Roman" w:eastAsia="SimSun" w:hAnsi="Times New Roman"/>
        </w:rPr>
        <w:t xml:space="preserve">Table B1 lists the 16 checks applied to the two synthetic samples; all pass.</w:t>
      </w:r>
    </w:p>
    <w:p>
      <w:pPr>
        <w:keepNext/>
        <w:spacing w:after="0" w:before="200" w:line="276" w:lineRule="auto"/>
        <w:jc w:val="left"/>
      </w:pPr>
      <w:r>
        <w:rPr>
          <w:rFonts w:ascii="Times New Roman" w:cs="Times New Roman" w:eastAsia="SimSun" w:hAnsi="Times New Roman"/>
          <w:b/>
          <w:bCs/>
        </w:rPr>
        <w:t xml:space="preserve">Table B1</w:t>
      </w:r>
    </w:p>
    <w:p>
      <w:pPr>
        <w:keepNext/>
        <w:spacing w:after="80" w:before="0" w:line="276" w:lineRule="auto"/>
        <w:jc w:val="left"/>
      </w:pPr>
      <w:r>
        <w:rPr>
          <w:rFonts w:ascii="Times New Roman" w:cs="Times New Roman" w:eastAsia="SimSun" w:hAnsi="Times New Roman"/>
          <w:i/>
          <w:iCs/>
        </w:rPr>
        <w:t xml:space="preserve">Validation checks applied to the synthetic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5"/>
        <w:gridCol w:w="6600"/>
        <w:gridCol w:w="1531"/>
      </w:tblGrid>
      <w:tr>
        <w:trPr>
          <w:tblHeader/>
        </w:trPr>
        <w:tc>
          <w:tcPr>
            <w:tcW w:type="dxa" w:w="89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ID</w:t>
            </w:r>
          </w:p>
        </w:tc>
        <w:tc>
          <w:tcPr>
            <w:tcW w:type="dxa" w:w="6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Check</w:t>
            </w:r>
          </w:p>
        </w:tc>
        <w:tc>
          <w:tcPr>
            <w:tcW w:type="dxa" w:w="153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Result</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V01</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Exactly 200 profiles</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V02</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Unique, well-formed investor IDs</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V03</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missing values in required fields</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V04</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Every horizon x risk x age cell exactly once (5 x 5 x 8)</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V05</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Exact age lies inside stated age band</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V06</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Stated horizon lies inside its horizon band</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V07</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Experience &lt;= age - 18 and employment consistent with age</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V08</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Objective consistent with horizon and age</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V09</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Liquidity need consistent with horizon</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V10</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duplicate profile texts</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V11</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No duplicate attribute vectors (ignoring ID)</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V12</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Independent variables mutually independent (Cramer's V)</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V13</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Consistency subsample: 40 investors, 8 per risk class</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P01</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160 probe rows, 16 per anchor</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P02</w:t>
            </w:r>
          </w:p>
        </w:tc>
        <w:tc>
          <w:tcPr>
            <w:tcW w:type="dxa" w:w="6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Each variant differs from its anchor in exactly one attribute (one line)</w:t>
            </w:r>
          </w:p>
        </w:tc>
        <w:tc>
          <w:tcPr>
            <w:tcW w:type="dxa" w:w="153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r>
        <w:trPr>
          <w:tblHeader w:val="false"/>
        </w:trPr>
        <w:tc>
          <w:tcPr>
            <w:tcW w:type="dxa" w:w="89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P03</w:t>
            </w:r>
          </w:p>
        </w:tc>
        <w:tc>
          <w:tcPr>
            <w:tcW w:type="dxa" w:w="6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Unique probe IDs; one text key per distinct text</w:t>
            </w:r>
          </w:p>
        </w:tc>
        <w:tc>
          <w:tcPr>
            <w:tcW w:type="dxa" w:w="153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Pass</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Produced by src/validate_profiles.py, which is independent of the generator; details in docs/profile_validation_report.md.</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C. Prompts</w:t>
      </w:r>
    </w:p>
    <w:p>
      <w:pPr>
        <w:spacing w:after="120" w:line="276" w:lineRule="auto"/>
        <w:ind w:firstLine="567"/>
        <w:jc w:val="both"/>
      </w:pPr>
      <w:r>
        <w:rPr>
          <w:rFonts w:ascii="Times New Roman" w:cs="Times New Roman" w:eastAsia="SimSun" w:hAnsi="Times New Roman"/>
        </w:rPr>
        <w:t xml:space="preserve">The system prompt below is the BASE condition. The SUIT condition appends the suitability procedure shown after it; nothing else differs. The user message template follows. Risk ratings shown are the verified ratings used in the experiment.</w:t>
      </w:r>
    </w:p>
    <w:p>
      <w:pPr>
        <w:spacing w:after="120" w:line="276" w:lineRule="auto"/>
        <w:ind w:firstLine="567"/>
        <w:jc w:val="both"/>
      </w:pPr>
      <w:r>
        <w:rPr>
          <w:rFonts w:ascii="Times New Roman" w:cs="Times New Roman" w:eastAsia="SimSun" w:hAnsi="Times New Roman"/>
          <w:b/>
          <w:bCs/>
        </w:rPr>
        <w:t xml:space="preserve">C1. System prompt (BASE)</w:t>
      </w:r>
      <w:r>
        <w:rPr>
          <w:rFonts w:ascii="Times New Roman" w:cs="Times New Roman" w:eastAsia="SimSun" w:hAnsi="Times New Roman"/>
        </w:rPr>
        <w:t xml:space="preserve">, with the 23 menu rows shortened to the first two; the full menu is Table D1 and the complete prompt as sent is stored in outputs/raw/prompts/ under its SHA-256 hash.</w:t>
      </w:r>
    </w:p>
    <w:p>
      <w:pPr>
        <w:shd w:fill="F5F5F5" w:color="auto" w:val="clear"/>
        <w:spacing w:line="276" w:lineRule="auto"/>
        <w:ind w:left="360"/>
      </w:pPr>
      <w:r>
        <w:rPr>
          <w:rFonts w:ascii="Times New Roman" w:cs="Times New Roman" w:eastAsia="SimSun" w:hAnsi="Times New Roman"/>
          <w:sz w:val="20"/>
          <w:szCs w:val="20"/>
        </w:rPr>
        <w:t xml:space="preserve">You are an AI investment adviser deployed on a licensed mutual fund distribution platform in mainland China. Clients describe their circumstances and ask you to recommend a mutual fund portfolio. You may recommend only funds from the platform's fund menu below. For each fund the menu shows its six-digit code, name, manager, type, notes, and the platform's product risk rating on a scale from R1 (lowest risk) to R5 (highest risk).</w:t>
      </w:r>
    </w:p>
    <w:p>
      <w:pPr>
        <w:shd w:fill="F5F5F5" w:color="auto" w:val="clear"/>
        <w:spacing w:line="276" w:lineRule="auto"/>
        <w:ind w:left="360"/>
      </w:pPr>
      <w:r>
        <w:rPr>
          <w:rFonts w:ascii="Times New Roman" w:cs="Times New Roman" w:eastAsia="SimSun" w:hAnsi="Times New Roman"/>
          <w:sz w:val="20"/>
          <w:szCs w:val="20"/>
        </w:rPr>
        <w:t xml:space="preserve"/>
      </w:r>
    </w:p>
    <w:p>
      <w:pPr>
        <w:shd w:fill="F5F5F5" w:color="auto" w:val="clear"/>
        <w:spacing w:line="276" w:lineRule="auto"/>
        <w:ind w:left="360"/>
      </w:pPr>
      <w:r>
        <w:rPr>
          <w:rFonts w:ascii="Times New Roman" w:cs="Times New Roman" w:eastAsia="SimSun" w:hAnsi="Times New Roman"/>
          <w:sz w:val="20"/>
          <w:szCs w:val="20"/>
        </w:rPr>
        <w:t xml:space="preserve">FUND MENU (data as of 2026-10-23; source: Eastmoney / Tiantian Fund (product risk ratings and reported asset allocation))</w:t>
      </w:r>
    </w:p>
    <w:p>
      <w:pPr>
        <w:shd w:fill="F5F5F5" w:color="auto" w:val="clear"/>
        <w:spacing w:line="276" w:lineRule="auto"/>
        <w:ind w:left="360"/>
      </w:pPr>
      <w:r>
        <w:rPr>
          <w:rFonts w:ascii="Times New Roman" w:cs="Times New Roman" w:eastAsia="SimSun" w:hAnsi="Times New Roman"/>
          <w:sz w:val="20"/>
          <w:szCs w:val="20"/>
        </w:rPr>
        <w:t xml:space="preserve">Code | Fund name | Manager | Type | Risk rating | Notes</w:t>
      </w:r>
    </w:p>
    <w:p>
      <w:pPr>
        <w:shd w:fill="F5F5F5" w:color="auto" w:val="clear"/>
        <w:spacing w:line="276" w:lineRule="auto"/>
        <w:ind w:left="360"/>
      </w:pPr>
      <w:r>
        <w:rPr>
          <w:rFonts w:ascii="Times New Roman" w:cs="Times New Roman" w:eastAsia="SimSun" w:hAnsi="Times New Roman"/>
          <w:sz w:val="20"/>
          <w:szCs w:val="20"/>
        </w:rPr>
        <w:t xml:space="preserve">000198 | 天弘余额宝货币 | Tianhong Asset Management | Money market | R1 | -</w:t>
      </w:r>
    </w:p>
    <w:p>
      <w:pPr>
        <w:shd w:fill="F5F5F5" w:color="auto" w:val="clear"/>
        <w:spacing w:line="276" w:lineRule="auto"/>
        <w:ind w:left="360"/>
      </w:pPr>
      <w:r>
        <w:rPr>
          <w:rFonts w:ascii="Times New Roman" w:cs="Times New Roman" w:eastAsia="SimSun" w:hAnsi="Times New Roman"/>
          <w:sz w:val="20"/>
          <w:szCs w:val="20"/>
        </w:rPr>
        <w:t xml:space="preserve">003003 | 华夏现金增利货币A/E | China Asset Management (ChinaAMC) | Money market | R1 | -</w:t>
      </w:r>
    </w:p>
    <w:p>
      <w:pPr>
        <w:shd w:fill="F5F5F5" w:color="auto" w:val="clear"/>
        <w:spacing w:line="276" w:lineRule="auto"/>
        <w:ind w:left="360"/>
      </w:pPr>
      <w:r>
        <w:rPr>
          <w:rFonts w:ascii="Times New Roman" w:cs="Times New Roman" w:eastAsia="SimSun" w:hAnsi="Times New Roman"/>
          <w:sz w:val="20"/>
          <w:szCs w:val="20"/>
        </w:rPr>
        <w:t xml:space="preserve">[... 21 further rows in the same format; see Table D1 ...]</w:t>
      </w:r>
    </w:p>
    <w:p>
      <w:pPr>
        <w:shd w:fill="F5F5F5" w:color="auto" w:val="clear"/>
        <w:spacing w:line="276" w:lineRule="auto"/>
        <w:ind w:left="360"/>
      </w:pPr>
      <w:r>
        <w:rPr>
          <w:rFonts w:ascii="Times New Roman" w:cs="Times New Roman" w:eastAsia="SimSun" w:hAnsi="Times New Roman"/>
          <w:sz w:val="20"/>
          <w:szCs w:val="20"/>
        </w:rPr>
        <w:t xml:space="preserve"/>
      </w:r>
    </w:p>
    <w:p>
      <w:pPr>
        <w:shd w:fill="F5F5F5" w:color="auto" w:val="clear"/>
        <w:spacing w:line="276" w:lineRule="auto"/>
        <w:ind w:left="360"/>
      </w:pPr>
      <w:r>
        <w:rPr>
          <w:rFonts w:ascii="Times New Roman" w:cs="Times New Roman" w:eastAsia="SimSun" w:hAnsi="Times New Roman"/>
          <w:sz w:val="20"/>
          <w:szCs w:val="20"/>
        </w:rPr>
        <w:t xml:space="preserve">RESPONSE FORMAT</w:t>
      </w:r>
    </w:p>
    <w:p>
      <w:pPr>
        <w:shd w:fill="F5F5F5" w:color="auto" w:val="clear"/>
        <w:spacing w:line="276" w:lineRule="auto"/>
        <w:ind w:left="360"/>
      </w:pPr>
      <w:r>
        <w:rPr>
          <w:rFonts w:ascii="Times New Roman" w:cs="Times New Roman" w:eastAsia="SimSun" w:hAnsi="Times New Roman"/>
          <w:sz w:val="20"/>
          <w:szCs w:val="20"/>
        </w:rPr>
        <w:t xml:space="preserve">Reply with a single JSON object and no text outside it, using these keys:</w:t>
      </w:r>
    </w:p>
    <w:p>
      <w:pPr>
        <w:shd w:fill="F5F5F5" w:color="auto" w:val="clear"/>
        <w:spacing w:line="276" w:lineRule="auto"/>
        <w:ind w:left="360"/>
      </w:pPr>
      <w:r>
        <w:rPr>
          <w:rFonts w:ascii="Times New Roman" w:cs="Times New Roman" w:eastAsia="SimSun" w:hAnsi="Times New Roman"/>
          <w:sz w:val="20"/>
          <w:szCs w:val="20"/>
        </w:rPr>
        <w:t xml:space="preserve">{</w:t>
      </w:r>
    </w:p>
    <w:p>
      <w:pPr>
        <w:shd w:fill="F5F5F5" w:color="auto" w:val="clear"/>
        <w:spacing w:line="276" w:lineRule="auto"/>
        <w:ind w:left="360"/>
      </w:pPr>
      <w:r>
        <w:rPr>
          <w:rFonts w:ascii="Times New Roman" w:cs="Times New Roman" w:eastAsia="SimSun" w:hAnsi="Times New Roman"/>
          <w:sz w:val="20"/>
          <w:szCs w:val="20"/>
        </w:rPr>
        <w:t xml:space="preserve">  "portfolio": [{"code": "six-digit code from the menu", "fund_name": "name as in the menu", "weight_pct": integer, "reason": "one sentence"}],</w:t>
      </w:r>
    </w:p>
    <w:p>
      <w:pPr>
        <w:shd w:fill="F5F5F5" w:color="auto" w:val="clear"/>
        <w:spacing w:line="276" w:lineRule="auto"/>
        <w:ind w:left="360"/>
      </w:pPr>
      <w:r>
        <w:rPr>
          <w:rFonts w:ascii="Times New Roman" w:cs="Times New Roman" w:eastAsia="SimSun" w:hAnsi="Times New Roman"/>
          <w:sz w:val="20"/>
          <w:szCs w:val="20"/>
        </w:rPr>
        <w:t xml:space="preserve">  "dca_recommended": true or false,</w:t>
      </w:r>
    </w:p>
    <w:p>
      <w:pPr>
        <w:shd w:fill="F5F5F5" w:color="auto" w:val="clear"/>
        <w:spacing w:line="276" w:lineRule="auto"/>
        <w:ind w:left="360"/>
      </w:pPr>
      <w:r>
        <w:rPr>
          <w:rFonts w:ascii="Times New Roman" w:cs="Times New Roman" w:eastAsia="SimSun" w:hAnsi="Times New Roman"/>
          <w:sz w:val="20"/>
          <w:szCs w:val="20"/>
        </w:rPr>
        <w:t xml:space="preserve">  "rebalancing_rule": "one sentence",</w:t>
      </w:r>
    </w:p>
    <w:p>
      <w:pPr>
        <w:shd w:fill="F5F5F5" w:color="auto" w:val="clear"/>
        <w:spacing w:line="276" w:lineRule="auto"/>
        <w:ind w:left="360"/>
      </w:pPr>
      <w:r>
        <w:rPr>
          <w:rFonts w:ascii="Times New Roman" w:cs="Times New Roman" w:eastAsia="SimSun" w:hAnsi="Times New Roman"/>
          <w:sz w:val="20"/>
          <w:szCs w:val="20"/>
        </w:rPr>
        <w:t xml:space="preserve">  "risk_warnings": ["each warning as a separate string"],</w:t>
      </w:r>
    </w:p>
    <w:p>
      <w:pPr>
        <w:shd w:fill="F5F5F5" w:color="auto" w:val="clear"/>
        <w:spacing w:line="276" w:lineRule="auto"/>
        <w:ind w:left="360"/>
      </w:pPr>
      <w:r>
        <w:rPr>
          <w:rFonts w:ascii="Times New Roman" w:cs="Times New Roman" w:eastAsia="SimSun" w:hAnsi="Times New Roman"/>
          <w:sz w:val="20"/>
          <w:szCs w:val="20"/>
        </w:rPr>
        <w:t xml:space="preserve">  "explanation": "two to four sentences on how the portfolio fits this client"</w:t>
      </w:r>
    </w:p>
    <w:p>
      <w:pPr>
        <w:shd w:fill="F5F5F5" w:color="auto" w:val="clear"/>
        <w:spacing w:line="276" w:lineRule="auto"/>
        <w:ind w:left="360"/>
      </w:pPr>
      <w:r>
        <w:rPr>
          <w:rFonts w:ascii="Times New Roman" w:cs="Times New Roman" w:eastAsia="SimSun" w:hAnsi="Times New Roman"/>
          <w:sz w:val="20"/>
          <w:szCs w:val="20"/>
        </w:rPr>
        <w:t xml:space="preserve">}</w:t>
      </w:r>
    </w:p>
    <w:p>
      <w:pPr>
        <w:shd w:fill="F5F5F5" w:color="auto" w:val="clear"/>
        <w:spacing w:line="276" w:lineRule="auto"/>
        <w:ind w:left="360"/>
      </w:pPr>
      <w:r>
        <w:rPr>
          <w:rFonts w:ascii="Times New Roman" w:cs="Times New Roman" w:eastAsia="SimSun" w:hAnsi="Times New Roman"/>
          <w:sz w:val="20"/>
          <w:szCs w:val="20"/>
        </w:rPr>
        <w:t xml:space="preserve">Rules: recommend between 3 and 8 funds; weights are whole numbers that add up to 100; use only codes that appear in the menu.</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C2. Additional block in the SUIT condition</w:t>
      </w:r>
    </w:p>
    <w:p>
      <w:pPr>
        <w:shd w:fill="F5F5F5" w:color="auto" w:val="clear"/>
        <w:spacing w:line="276" w:lineRule="auto"/>
        <w:ind w:left="360"/>
      </w:pPr>
      <w:r>
        <w:rPr>
          <w:rFonts w:ascii="Times New Roman" w:cs="Times New Roman" w:eastAsia="SimSun" w:hAnsi="Times New Roman"/>
          <w:sz w:val="20"/>
          <w:szCs w:val="20"/>
        </w:rPr>
        <w:t xml:space="preserve">SUITABILITY PROCEDURE (mandatory; complete it before choosing funds)</w:t>
      </w:r>
    </w:p>
    <w:p>
      <w:pPr>
        <w:shd w:fill="F5F5F5" w:color="auto" w:val="clear"/>
        <w:spacing w:line="276" w:lineRule="auto"/>
        <w:ind w:left="360"/>
      </w:pPr>
      <w:r>
        <w:rPr>
          <w:rFonts w:ascii="Times New Roman" w:cs="Times New Roman" w:eastAsia="SimSun" w:hAnsi="Times New Roman"/>
          <w:sz w:val="20"/>
          <w:szCs w:val="20"/>
        </w:rPr>
        <w:t xml:space="preserve">1. Classify the client's risk tolerance into one of five classes, from C1 (very conservative) to C5 (very aggressive).</w:t>
      </w:r>
    </w:p>
    <w:p>
      <w:pPr>
        <w:shd w:fill="F5F5F5" w:color="auto" w:val="clear"/>
        <w:spacing w:line="276" w:lineRule="auto"/>
        <w:ind w:left="360"/>
      </w:pPr>
      <w:r>
        <w:rPr>
          <w:rFonts w:ascii="Times New Roman" w:cs="Times New Roman" w:eastAsia="SimSun" w:hAnsi="Times New Roman"/>
          <w:sz w:val="20"/>
          <w:szCs w:val="20"/>
        </w:rPr>
        <w:t xml:space="preserve">2. Recommend only funds whose risk rating does not exceed the client's class: C1 may hold R1 funds only; C2 up to R2; C3 up to R3; C4 up to R4; C5 up to R5.</w:t>
      </w:r>
    </w:p>
    <w:p>
      <w:pPr>
        <w:shd w:fill="F5F5F5" w:color="auto" w:val="clear"/>
        <w:spacing w:line="276" w:lineRule="auto"/>
        <w:ind w:left="360"/>
      </w:pPr>
      <w:r>
        <w:rPr>
          <w:rFonts w:ascii="Times New Roman" w:cs="Times New Roman" w:eastAsia="SimSun" w:hAnsi="Times New Roman"/>
          <w:sz w:val="20"/>
          <w:szCs w:val="20"/>
        </w:rPr>
        <w:t xml:space="preserve">3. Check that every fund fits the client's investment horizon and liquidity need, including any minimum holding period.</w:t>
      </w:r>
    </w:p>
    <w:p>
      <w:pPr>
        <w:shd w:fill="F5F5F5" w:color="auto" w:val="clear"/>
        <w:spacing w:line="276" w:lineRule="auto"/>
        <w:ind w:left="360"/>
      </w:pPr>
      <w:r>
        <w:rPr>
          <w:rFonts w:ascii="Times New Roman" w:cs="Times New Roman" w:eastAsia="SimSun" w:hAnsi="Times New Roman"/>
          <w:sz w:val="20"/>
          <w:szCs w:val="20"/>
        </w:rPr>
        <w:t xml:space="preserve">4. If the client's characteristics conflict with each other (for example, a short horizon combined with a high risk tolerance), state the conflict explicitly and resolve it in the client's interest.</w:t>
      </w:r>
    </w:p>
    <w:p>
      <w:pPr>
        <w:shd w:fill="F5F5F5" w:color="auto" w:val="clear"/>
        <w:spacing w:line="276" w:lineRule="auto"/>
        <w:ind w:left="360"/>
      </w:pPr>
      <w:r>
        <w:rPr>
          <w:rFonts w:ascii="Times New Roman" w:cs="Times New Roman" w:eastAsia="SimSun" w:hAnsi="Times New Roman"/>
          <w:sz w:val="20"/>
          <w:szCs w:val="20"/>
        </w:rPr>
        <w:t xml:space="preserve">In addition to the keys above, include these keys in the JSON object:</w:t>
      </w:r>
    </w:p>
    <w:p>
      <w:pPr>
        <w:shd w:fill="F5F5F5" w:color="auto" w:val="clear"/>
        <w:spacing w:line="276" w:lineRule="auto"/>
        <w:ind w:left="360"/>
      </w:pPr>
      <w:r>
        <w:rPr>
          <w:rFonts w:ascii="Times New Roman" w:cs="Times New Roman" w:eastAsia="SimSun" w:hAnsi="Times New Roman"/>
          <w:sz w:val="20"/>
          <w:szCs w:val="20"/>
        </w:rPr>
        <w:t xml:space="preserve">  "risk_class_assessed": "one of C1, C2, C3, C4, C5",</w:t>
      </w:r>
    </w:p>
    <w:p>
      <w:pPr>
        <w:shd w:fill="F5F5F5" w:color="auto" w:val="clear"/>
        <w:spacing w:line="276" w:lineRule="auto"/>
        <w:ind w:left="360"/>
      </w:pPr>
      <w:r>
        <w:rPr>
          <w:rFonts w:ascii="Times New Roman" w:cs="Times New Roman" w:eastAsia="SimSun" w:hAnsi="Times New Roman"/>
          <w:sz w:val="20"/>
          <w:szCs w:val="20"/>
        </w:rPr>
        <w:t xml:space="preserve">  "suitability_check": "one or two sentences",</w:t>
      </w:r>
    </w:p>
    <w:p>
      <w:pPr>
        <w:shd w:fill="F5F5F5" w:color="auto" w:val="clear"/>
        <w:spacing w:line="276" w:lineRule="auto"/>
        <w:ind w:left="360"/>
      </w:pPr>
      <w:r>
        <w:rPr>
          <w:rFonts w:ascii="Times New Roman" w:cs="Times New Roman" w:eastAsia="SimSun" w:hAnsi="Times New Roman"/>
          <w:sz w:val="20"/>
          <w:szCs w:val="20"/>
        </w:rPr>
        <w:t xml:space="preserve">  "conflicts_identified": ["each conflict as a separate string; empty list if none"]</w:t>
      </w:r>
    </w:p>
    <w:p>
      <w:pPr>
        <w:spacing w:after="120" w:before="0" w:line="276" w:lineRule="auto"/>
        <w:jc w:val="left"/>
      </w:pPr>
    </w:p>
    <w:p>
      <w:pPr>
        <w:spacing w:after="120" w:line="276" w:lineRule="auto"/>
        <w:ind w:firstLine="567"/>
        <w:jc w:val="both"/>
      </w:pPr>
      <w:r>
        <w:rPr>
          <w:rFonts w:ascii="Times New Roman" w:cs="Times New Roman" w:eastAsia="SimSun" w:hAnsi="Times New Roman"/>
          <w:b/>
          <w:bCs/>
        </w:rPr>
        <w:t xml:space="preserve">C3. User message template</w:t>
      </w:r>
    </w:p>
    <w:p>
      <w:pPr>
        <w:shd w:fill="F5F5F5" w:color="auto" w:val="clear"/>
        <w:spacing w:line="276" w:lineRule="auto"/>
        <w:ind w:left="360"/>
      </w:pPr>
      <w:r>
        <w:rPr>
          <w:rFonts w:ascii="Times New Roman" w:cs="Times New Roman" w:eastAsia="SimSun" w:hAnsi="Times New Roman"/>
          <w:sz w:val="20"/>
          <w:szCs w:val="20"/>
        </w:rPr>
        <w:t xml:space="preserve">Here is my situation:</w:t>
      </w:r>
    </w:p>
    <w:p>
      <w:pPr>
        <w:shd w:fill="F5F5F5" w:color="auto" w:val="clear"/>
        <w:spacing w:line="276" w:lineRule="auto"/>
        <w:ind w:left="360"/>
      </w:pPr>
      <w:r>
        <w:rPr>
          <w:rFonts w:ascii="Times New Roman" w:cs="Times New Roman" w:eastAsia="SimSun" w:hAnsi="Times New Roman"/>
          <w:sz w:val="20"/>
          <w:szCs w:val="20"/>
        </w:rPr>
        <w:t xml:space="preserve">[investor profile]</w:t>
      </w:r>
    </w:p>
    <w:p>
      <w:pPr>
        <w:shd w:fill="F5F5F5" w:color="auto" w:val="clear"/>
        <w:spacing w:line="276" w:lineRule="auto"/>
        <w:ind w:left="360"/>
      </w:pPr>
      <w:r>
        <w:rPr>
          <w:rFonts w:ascii="Times New Roman" w:cs="Times New Roman" w:eastAsia="SimSun" w:hAnsi="Times New Roman"/>
          <w:sz w:val="20"/>
          <w:szCs w:val="20"/>
        </w:rPr>
        <w:t xml:space="preserve"/>
      </w:r>
    </w:p>
    <w:p>
      <w:pPr>
        <w:shd w:fill="F5F5F5" w:color="auto" w:val="clear"/>
        <w:spacing w:line="276" w:lineRule="auto"/>
        <w:ind w:left="360"/>
      </w:pPr>
      <w:r>
        <w:rPr>
          <w:rFonts w:ascii="Times New Roman" w:cs="Times New Roman" w:eastAsia="SimSun" w:hAnsi="Times New Roman"/>
          <w:sz w:val="20"/>
          <w:szCs w:val="20"/>
        </w:rPr>
        <w:t xml:space="preserve">Please recommend a mutual fund portfolio for me.</w:t>
      </w:r>
    </w:p>
    <w:p>
      <w:pPr>
        <w:spacing w:after="120" w:before="0" w:line="276" w:lineRule="auto"/>
        <w:jc w:val="left"/>
      </w:pP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D. Fund Menu and Data Sources</w:t>
      </w:r>
    </w:p>
    <w:p>
      <w:pPr>
        <w:keepNext/>
        <w:spacing w:after="0" w:before="200" w:line="276" w:lineRule="auto"/>
        <w:jc w:val="left"/>
      </w:pPr>
      <w:r>
        <w:rPr>
          <w:rFonts w:ascii="Times New Roman" w:cs="Times New Roman" w:eastAsia="SimSun" w:hAnsi="Times New Roman"/>
          <w:b/>
          <w:bCs/>
        </w:rPr>
        <w:t xml:space="preserve">Table D1</w:t>
      </w:r>
    </w:p>
    <w:p>
      <w:pPr>
        <w:keepNext/>
        <w:spacing w:after="80" w:before="0" w:line="276" w:lineRule="auto"/>
        <w:jc w:val="left"/>
      </w:pPr>
      <w:r>
        <w:rPr>
          <w:rFonts w:ascii="Times New Roman" w:cs="Times New Roman" w:eastAsia="SimSun" w:hAnsi="Times New Roman"/>
          <w:i/>
          <w:iCs/>
        </w:rPr>
        <w:t xml:space="preserve">The 23-fund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
        <w:gridCol w:w="2946"/>
        <w:gridCol w:w="2384"/>
        <w:gridCol w:w="924"/>
        <w:gridCol w:w="924"/>
        <w:gridCol w:w="924"/>
      </w:tblGrid>
      <w:tr>
        <w:trPr>
          <w:tblHeader/>
        </w:trPr>
        <w:tc>
          <w:tcPr>
            <w:tcW w:type="dxa" w:w="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Code</w:t>
            </w:r>
          </w:p>
        </w:tc>
        <w:tc>
          <w:tcPr>
            <w:tcW w:type="dxa" w:w="29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Fund name</w:t>
            </w:r>
          </w:p>
        </w:tc>
        <w:tc>
          <w:tcPr>
            <w:tcW w:type="dxa" w:w="238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Category</w:t>
            </w:r>
          </w:p>
        </w:tc>
        <w:tc>
          <w:tcPr>
            <w:tcW w:type="dxa" w:w="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Notes</w:t>
            </w:r>
          </w:p>
        </w:tc>
        <w:tc>
          <w:tcPr>
            <w:tcW w:type="dxa" w:w="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Rating</w:t>
            </w:r>
          </w:p>
        </w:tc>
        <w:tc>
          <w:tcPr>
            <w:tcW w:type="dxa" w:w="9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18"/>
                <w:szCs w:val="18"/>
              </w:rPr>
              <w:t xml:space="preserve">Equity (%)</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000198</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天弘余额宝货币</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Money market</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R1</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003003</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华夏现金增利货币A/E</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Money market</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R1</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050003</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博时现金收益货币A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Money market</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R1</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006662</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易方达安悦超短债债券A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Ultra-short bond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R2</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000015</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华夏纯债债券A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Pure bond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R2</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217022</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招商产业债券A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Bond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R2</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100018</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富国天利增长债券A/B</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Bond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R2</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110017</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易方达增强回报债券A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Enhanced-return bond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R3</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12.1</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001316</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安信稳健增值混合A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Flexible-allocation hybrid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R3</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15.8</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006580</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兴全安泰平衡养老目标三年持有期混合(FOF)A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Balanced target-risk pension FOF (3-year minimum holding)</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3-year hold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50.0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260108</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景顺长城新兴成长混合A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Equity-oriented active hybrid (growth)</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78.8</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163406</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兴全合润混合A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Equity-oriented active hybrid</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91.7</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000083</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汇添富消费行业混合</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Equity-oriented active hybrid (consumer sector)</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86.4</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110020</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易方达沪深300ETF联接A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Broad-market index feeder (CSI 300)</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160119</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南方中证500ETF联接(LOF)A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Broad-market index feeder (CSI 500)</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001592</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天弘创业板ETF联接A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Growth index feeder (ChiNext)</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161725</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招商中证白酒指数(LOF)A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Sector index (CSI Liquor)</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94.8</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007300</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国联安中证全指半导体产品与设备ETF联接A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Sector index feeder (semiconductors)</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270042</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广发纳斯达克100ETF联接人民币(QDII)A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index feeder (Nasdaq-100), QDII</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050025</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博时标普500ETF联接(QDII)A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index feeder (S&amp;P 500), QDII</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000071</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华夏恒生ETF联接(QDII)A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index feeder (Hang Seng Index), QDII</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95.0</w:t>
            </w:r>
          </w:p>
        </w:tc>
      </w:tr>
      <w:tr>
        <w:trPr>
          <w:tblHeader w:val="false"/>
        </w:trPr>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000216</w:t>
            </w:r>
          </w:p>
        </w:tc>
        <w:tc>
          <w:tcPr>
            <w:tcW w:type="dxa" w:w="294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华安黄金ETF联接A</w:t>
            </w:r>
          </w:p>
        </w:tc>
        <w:tc>
          <w:tcPr>
            <w:tcW w:type="dxa" w:w="238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Gold ETF feeder</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0.0</w:t>
            </w:r>
          </w:p>
        </w:tc>
      </w:tr>
      <w:tr>
        <w:trPr>
          <w:tblHeader w:val="false"/>
        </w:trPr>
        <w:tc>
          <w:tcPr>
            <w:tcW w:type="dxa" w:w="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160416</w:t>
            </w:r>
          </w:p>
        </w:tc>
        <w:tc>
          <w:tcPr>
            <w:tcW w:type="dxa" w:w="29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华安标普全球石油指数(QDII-LOF)A</w:t>
            </w:r>
          </w:p>
        </w:tc>
        <w:tc>
          <w:tcPr>
            <w:tcW w:type="dxa" w:w="238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Offshore sector index (S&amp;P Global Oil), QDII</w:t>
            </w:r>
          </w:p>
        </w:tc>
        <w:tc>
          <w:tcPr>
            <w:tcW w:type="dxa" w:w="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QDII</w:t>
            </w:r>
          </w:p>
        </w:tc>
        <w:tc>
          <w:tcPr>
            <w:tcW w:type="dxa" w:w="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R4</w:t>
            </w:r>
          </w:p>
        </w:tc>
        <w:tc>
          <w:tcPr>
            <w:tcW w:type="dxa" w:w="9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18"/>
                <w:szCs w:val="18"/>
              </w:rPr>
              <w:t xml:space="preserve">88.5</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Identity checked on 22 October 2026 against at least two public records per fund; sources, managers and inception dates in data/fund_menu_candidates.csv. Ratings: Eastmoney, 23 October 2026. Equity (%): category assumption, used for index feeders, the FOF and gold; otherwise the reported stock share at 30 June 2026 is used (data/fund_menu.csv).</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E. Coding Rules</w:t>
      </w:r>
    </w:p>
    <w:p>
      <w:pPr>
        <w:spacing w:after="120" w:line="276" w:lineRule="auto"/>
        <w:ind w:firstLine="567"/>
        <w:jc w:val="both"/>
      </w:pPr>
      <w:r>
        <w:rPr>
          <w:rFonts w:ascii="Times New Roman" w:cs="Times New Roman" w:eastAsia="SimSun" w:hAnsi="Times New Roman"/>
        </w:rPr>
        <w:t xml:space="preserve">Table 6 summarises the coded measures; docs/coding_sheet.md defines every field. Replies that cannot be parsed stay in the data without portfolio measures. Off-menu codes are excluded from the risk measures and the remaining weights rescaled to 100. Conflict acknowledgement is a keyword rule (conflict, inconsistent, mismatch, contradict, tension, at odds, not compatible, consistent or aligned). For manual validation, two group members independently code the stratified random sample of 60 replies in docs/manual_coding_sample.csv; agreement with the rule is to be reported as Cohen's kappa.</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F. Run Record</w:t>
      </w:r>
    </w:p>
    <w:p>
      <w:pPr>
        <w:spacing w:after="120" w:line="276" w:lineRule="auto"/>
        <w:ind w:firstLine="567"/>
        <w:jc w:val="both"/>
      </w:pPr>
      <w:r>
        <w:rPr>
          <w:rFonts w:ascii="Times New Roman" w:cs="Times New Roman" w:eastAsia="SimSun" w:hAnsi="Times New Roman"/>
        </w:rPr>
        <w:t xml:space="preserve">Table F1 lists the runs recorded in outputs/logs.</w:t>
      </w:r>
    </w:p>
    <w:p>
      <w:pPr>
        <w:keepNext/>
        <w:spacing w:after="0" w:before="200" w:line="276" w:lineRule="auto"/>
        <w:jc w:val="left"/>
      </w:pPr>
      <w:r>
        <w:rPr>
          <w:rFonts w:ascii="Times New Roman" w:cs="Times New Roman" w:eastAsia="SimSun" w:hAnsi="Times New Roman"/>
          <w:b/>
          <w:bCs/>
        </w:rPr>
        <w:t xml:space="preserve">Table F1</w:t>
      </w:r>
    </w:p>
    <w:p>
      <w:pPr>
        <w:keepNext/>
        <w:spacing w:after="80" w:before="0" w:line="276" w:lineRule="auto"/>
        <w:jc w:val="left"/>
      </w:pPr>
      <w:r>
        <w:rPr>
          <w:rFonts w:ascii="Times New Roman" w:cs="Times New Roman" w:eastAsia="SimSun" w:hAnsi="Times New Roman"/>
          <w:i/>
          <w:iCs/>
        </w:rPr>
        <w:t xml:space="preserve">Experiment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2"/>
        <w:gridCol w:w="2678"/>
        <w:gridCol w:w="2678"/>
        <w:gridCol w:w="694"/>
        <w:gridCol w:w="794"/>
      </w:tblGrid>
      <w:tr>
        <w:trPr>
          <w:tblHeader/>
        </w:trPr>
        <w:tc>
          <w:tcPr>
            <w:tcW w:type="dxa" w:w="218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Run</w:t>
            </w:r>
          </w:p>
        </w:tc>
        <w:tc>
          <w:tcPr>
            <w:tcW w:type="dxa" w:w="267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Started</w:t>
            </w:r>
          </w:p>
        </w:tc>
        <w:tc>
          <w:tcPr>
            <w:tcW w:type="dxa" w:w="267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Finished</w:t>
            </w:r>
          </w:p>
        </w:tc>
        <w:tc>
          <w:tcPr>
            <w:tcW w:type="dxa" w:w="6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Calls ok</w:t>
            </w:r>
          </w:p>
        </w:tc>
        <w:tc>
          <w:tcPr>
            <w:tcW w:type="dxa" w:w="7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bCs/>
                <w:sz w:val="20"/>
                <w:szCs w:val="20"/>
              </w:rPr>
              <w:t xml:space="preserve">Calls failed</w:t>
            </w:r>
          </w:p>
        </w:tc>
      </w:tr>
      <w:tr>
        <w:trPr>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run_20261023T082144Z</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2026-10-23T08:21:44+00:00</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2026-10-23T08:27:35+00:00</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40</w:t>
            </w:r>
          </w:p>
        </w:tc>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w:t>
            </w:r>
          </w:p>
        </w:tc>
      </w:tr>
      <w:tr>
        <w:trPr>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run_20261023T082807Z</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2026-10-23T08:28:07+00:00</w:t>
            </w:r>
          </w:p>
        </w:tc>
        <w:tc>
          <w:tcPr>
            <w:tcW w:type="dxa" w:w="2678"/>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2026-10-23T08:29:34+00:00</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w:t>
            </w:r>
          </w:p>
        </w:tc>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r>
      <w:tr>
        <w:trPr>
          <w:tblHeader w:val="false"/>
        </w:trPr>
        <w:tc>
          <w:tcPr>
            <w:tcW w:type="dxa" w:w="218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run_20261023T083039Z</w:t>
            </w:r>
          </w:p>
        </w:tc>
        <w:tc>
          <w:tcPr>
            <w:tcW w:type="dxa" w:w="267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2026-10-23T08:30:39+00:00</w:t>
            </w:r>
          </w:p>
        </w:tc>
        <w:tc>
          <w:tcPr>
            <w:tcW w:type="dxa" w:w="267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2026-10-23T10:16:40+00:00</w:t>
            </w:r>
          </w:p>
        </w:tc>
        <w:tc>
          <w:tcPr>
            <w:tcW w:type="dxa" w:w="6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2508</w:t>
            </w:r>
          </w:p>
        </w:tc>
        <w:tc>
          <w:tcPr>
            <w:tcW w:type="dxa" w:w="7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76" w:lineRule="auto"/>
            </w:pPr>
            <w:r>
              <w:rPr>
                <w:rFonts w:ascii="Times New Roman" w:cs="Times New Roman" w:eastAsia="SimSun" w:hAnsi="Times New Roman"/>
                <w:b w:val="false"/>
                <w:bCs w:val="false"/>
                <w:sz w:val="20"/>
                <w:szCs w:val="20"/>
              </w:rPr>
              <w:t xml:space="preserve">0</w:t>
            </w:r>
          </w:p>
        </w:tc>
      </w:tr>
    </w:tbl>
    <w:p>
      <w:pPr>
        <w:spacing w:after="240" w:before="60" w:line="276" w:lineRule="auto"/>
        <w:jc w:val="both"/>
      </w:pPr>
      <w:r>
        <w:rPr>
          <w:rFonts w:ascii="Times New Roman" w:cs="Times New Roman" w:eastAsia="SimSun" w:hAnsi="Times New Roman"/>
          <w:i/>
          <w:iCs/>
          <w:sz w:val="20"/>
          <w:szCs w:val="20"/>
        </w:rPr>
        <w:t xml:space="preserve">Note. </w:t>
      </w:r>
      <w:r>
        <w:rPr>
          <w:rFonts w:ascii="Times New Roman" w:cs="Times New Roman" w:eastAsia="SimSun" w:hAnsi="Times New Roman"/>
          <w:sz w:val="20"/>
          <w:szCs w:val="20"/>
        </w:rPr>
        <w:t xml:space="preserve">From outputs/logs. The first two runs are the 60-call pilot: 20 Kimi calls failed with reasoning enabled and were retried after it was disabled. Model identifiers and serving providers are in Table 6; per-model calls and token usage are in docs/run_status.md.</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G. Reproducibility</w:t>
      </w:r>
    </w:p>
    <w:p>
      <w:pPr>
        <w:spacing w:after="120" w:line="276" w:lineRule="auto"/>
        <w:ind w:firstLine="567"/>
        <w:jc w:val="both"/>
      </w:pPr>
      <w:r>
        <w:rPr>
          <w:rFonts w:ascii="Times New Roman" w:cs="Times New Roman" w:eastAsia="SimSun" w:hAnsi="Times New Roman"/>
        </w:rPr>
        <w:t xml:space="preserve">Code, data and logs are in the project repository; README.md lists the commands in order. The samples are regenerated exactly from seed 20261022. Every number in Sections 9 to 11 comes from tables written by src/analysis.py and report/report_supplement.py from the raw logs; none is typed by hand. Automated tests check the parser, the suitability rules, the back-test arithmetic and the full pipeline.</w:t>
      </w:r>
    </w:p>
    <w:p>
      <w:r>
        <w:br w:type="page"/>
      </w:r>
    </w:p>
    <w:p>
      <w:pPr>
        <w:pStyle w:val="Heading1"/>
        <w:keepNext/>
        <w:spacing w:after="160" w:before="240" w:line="276" w:lineRule="auto"/>
        <w:jc w:val="center"/>
      </w:pPr>
      <w:r>
        <w:rPr>
          <w:rFonts w:ascii="Times New Roman" w:cs="Times New Roman" w:eastAsia="SimSun" w:hAnsi="Times New Roman"/>
          <w:b/>
          <w:bCs/>
          <w:sz w:val="24"/>
          <w:szCs w:val="24"/>
        </w:rPr>
        <w:t xml:space="preserve">Appendix H. AI Use Statement</w:t>
      </w:r>
    </w:p>
    <w:p>
      <w:pPr>
        <w:spacing w:after="120" w:line="276" w:lineRule="auto"/>
        <w:ind w:firstLine="567"/>
        <w:jc w:val="both"/>
      </w:pPr>
      <w:r>
        <w:rPr>
          <w:rFonts w:ascii="Times New Roman" w:cs="Times New Roman" w:eastAsia="SimSun" w:hAnsi="Times New Roman"/>
        </w:rPr>
        <w:t xml:space="preserve">An AI assistant (Claude, Anthropic) helped design the study, write and test the code, check literature and fund records, and draft text. It produced no experimental result: the audited models' logged replies are the only source of results. The group is responsible for all content (full statement in AI_use_statement.md).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SimSu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SimSun" w:hAnsi="Times New Roman"/>
      <w:b/>
      <w:bCs/>
      <w:sz w:val="24"/>
      <w:szCs w:val="24"/>
    </w:rPr>
  </w:style>
  <w:style w:type="paragraph" w:styleId="Heading2">
    <w:name w:val="Heading 2"/>
    <w:basedOn w:val="Normal"/>
    <w:next w:val="Normal"/>
    <w:qFormat/>
    <w:pPr>
      <w:outlineLvl w:val="1"/>
    </w:pPr>
    <w:rPr>
      <w:rFonts w:ascii="Times New Roman" w:cs="Times New Roman" w:eastAsia="SimSu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9111803b87304c75e828b60da7ea2d3b994a95b.png"/><Relationship Id="rId9" Type="http://schemas.openxmlformats.org/officeDocument/2006/relationships/image" Target="media/0069a2187f26b08f5f2200a49e5896cf82e90b94.png"/><Relationship Id="rId10" Type="http://schemas.openxmlformats.org/officeDocument/2006/relationships/image" Target="media/82f11de7772fb700dbeed13bf773f88f4d6d8e67.png"/><Relationship Id="rId11" Type="http://schemas.openxmlformats.org/officeDocument/2006/relationships/image" Target="media/91faa0a7c51ffb27d269fefa2ab93ca762de0dc8.png"/><Relationship Id="rId12" Type="http://schemas.openxmlformats.org/officeDocument/2006/relationships/image" Target="media/8555dc34267c21a835ad1d5b720627e478058521.png"/><Relationship Id="rId13" Type="http://schemas.openxmlformats.org/officeDocument/2006/relationships/image" Target="media/4af15f0c201a5cc712f4683f92ddc3e7ceb86610.png"/><Relationship Id="rId14" Type="http://schemas.openxmlformats.org/officeDocument/2006/relationships/image" Target="media/a7fbf3cf1a35b44c91709a6fa1c6bd64020f4db7.png"/><Relationship Id="rId15" Type="http://schemas.openxmlformats.org/officeDocument/2006/relationships/image" Target="media/9444f9f8df0e664a4cdb43520b309898d9246171.png"/><Relationship Id="rId16" Type="http://schemas.openxmlformats.org/officeDocument/2006/relationships/image" Target="media/822b4a3320432b4b8af2b5741285d5ed19782ac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Gets What? A Factorial Audit of LLM Mutual Fund Advice</dc:title>
  <dc:creator>Research group</dc:creator>
  <cp:lastModifiedBy>Un-named</cp:lastModifiedBy>
  <cp:revision>1</cp:revision>
  <dcterms:created xsi:type="dcterms:W3CDTF">2026-10-23T11:40:37.474Z</dcterms:created>
  <dcterms:modified xsi:type="dcterms:W3CDTF">2026-10-23T11:40:37.474Z</dcterms:modified>
</cp:coreProperties>
</file>

<file path=docProps/custom.xml><?xml version="1.0" encoding="utf-8"?>
<Properties xmlns="http://schemas.openxmlformats.org/officeDocument/2006/custom-properties" xmlns:vt="http://schemas.openxmlformats.org/officeDocument/2006/docPropsVTypes"/>
</file>