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i/>
          <w:iCs/>
          <w:sz w:val="20"/>
          <w:szCs w:val="20"/>
        </w:rPr>
        <w:t xml:space="preserve">DRAFT STATUS: Sections 9-11 and 13 and the abstract's findings are written only after the experiment has been run. No results appear in this draft.</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Large language models (LLMs) are now a common first stop for retail investors, yet a chatbot carries none of the suitability duties that bind a licensed adviser. This study audits how three LLMs from different developers recommend Chinese public mutual funds to 200 synthetic investors. The investors are built as a balanced full factorial of five investment horizons, five risk-tolerance classes and eight age bands, one investor per cell, so the three attributes are uncorrelated by construction. Every investor is advised by every model under two deployment prompts: a baseline adviser prompt and the same prompt with an explicit suitability protocol added. Models choose only from a menu of 23 real funds whose identities were verified against public records. Each recommendation is scored against the product-risk matching rule used by Chinese fund distributors, a horizon-based equity ceiling, the minimum holding period of a pension fund, and the investor's own stated loss tolerance, which is checked against five years of fund return data. Two further modules measure test-retest consistency and the effect of changing one attribute at a time.</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Findings are added here once the experiment has been run and analysed (outputs/tables/results_digest.md).</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to visit a bank branch or answer a robo-adviser's questionnaire before they receive a fund recommendation. They can type a few sentences about themselves into a general-purpose chatbot and get a named portfolio back in seconds. How quickly this habit has spread is hard to measure, but the direction is clear. Choukhmane et al. (2026) were able to recruit about 1,000 US adults who wrote the prompts they would use to ask an LLM for saving and investment advice, and then evaluated the advice those prompts produced. The appeal is obvious: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collect information on a client's risk tolerance, investment horizon and goals, classify both the client and the product, and sell the client only products whose risk rating does not exceed the client's class (Asset Management Association of China [AMAC], 2017; China Securities Regulatory Commission [CSRC], 2020). A chatbot has no such obligation unless the firm deploying it builds one in. Whether general-purpose models nonetheless behave as if they were bound by suitability rules is an empirical question, and an audit experiment is the most direct way to answer it.</w:t>
      </w:r>
    </w:p>
    <w:p>
      <w:pPr>
        <w:spacing w:after="120" w:line="276" w:lineRule="auto"/>
        <w:ind w:firstLine="567"/>
        <w:jc w:val="both"/>
      </w:pPr>
      <w:r>
        <w:rPr>
          <w:rFonts w:ascii="Times New Roman" w:cs="Times New Roman" w:eastAsia="SimSun" w:hAnsi="Times New Roman"/>
        </w:rPr>
        <w:t xml:space="preserve">The early evidence points in two directions. On average, LLM portfolios look sensible. Fieberg et al. (2025) collected recommendations from 32 models for 64 investor profiles and found that the models generally adjusted market and risk exposure to investor traits, with historical performance comparable to professionally managed benchmarks. Choukhmane et al. (2026) report that following LLM advice would move most of their respondents closer to the prescriptions of life-cycle theory. Other studies suggest that the tailoring is shallow. Ross and Lo (2026) describe GPT-4o as behaving like a decision tree that keys mainly on self-reported risk tolerance. Foltyn and Olsson (2026) show that changing a single word from "man" to "woman" lowers the recommended equity share across 33 models. Human advisers have shown similar weaknesses: Foerster et al. (2017) found that the identity of the adviser explained more of a client's portfolio risk than the client's own risk tolerance, age or sophistication.</w:t>
      </w:r>
    </w:p>
    <w:p>
      <w:pPr>
        <w:spacing w:after="120" w:line="276" w:lineRule="auto"/>
        <w:ind w:firstLine="567"/>
        <w:jc w:val="both"/>
      </w:pPr>
      <w:r>
        <w:rPr>
          <w:rFonts w:ascii="Times New Roman" w:cs="Times New Roman" w:eastAsia="SimSun" w:hAnsi="Times New Roman"/>
        </w:rPr>
        <w:t xml:space="preserve">Existing audits leave four gaps that this project addresses. First, most vary a handful of attributes at once, which makes it hard to say how much weight a model places on each. We cross horizon, risk tolerance and age orthogonally in a 5 x 5 x 8 design, so their contributions can be separated cleanly. Second, suitability is usually judged against the researchers' own idea of a good portfolio. We score advice against an external, regulation-based rule, using the risk ratings of real products, and add a liquidity test through a fund with a three-year lock-up. Third, little is known about whether a deployment prompt can make a model behave more like a regulated adviser. We test a prompt-level suitability protocol against a baseline prompt within the same investors. Fourth, recommendations are rarely checked against data on the funds actually recommended. We back-test every recommended mix and compare its worst historical 12-month loss with the loss the investor said they could bear.</w:t>
      </w:r>
    </w:p>
    <w:p>
      <w:pPr>
        <w:spacing w:after="120" w:line="276" w:lineRule="auto"/>
        <w:ind w:firstLine="567"/>
        <w:jc w:val="both"/>
      </w:pPr>
      <w:r>
        <w:rPr>
          <w:rFonts w:ascii="Times New Roman" w:cs="Times New Roman" w:eastAsia="SimSun" w:hAnsi="Times New Roman"/>
        </w:rPr>
        <w:t xml:space="preserve">The report proceeds as follows. Section 2 states the research questions and hypotheses. Section 3 reviews the literature on suitability, human and automated advice, and the reliability of LLM outputs. Sections 4 to 8 describe the design, the synthetic sample, the fund menu, the prompts and implementation, and the evaluation framework. Sections 9 to 11 present and interpret the results, Section 12 discusses limitations, and Section 13 concludes. The appendices reproduce the prompts, sample examples, the fund menu, the coding rules and the reproducibility record.</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rPr>
        <w:t xml:space="preserve">The study asks five questions.</w:t>
      </w:r>
    </w:p>
    <w:p>
      <w:pPr>
        <w:spacing w:after="120" w:line="276" w:lineRule="auto"/>
        <w:ind w:firstLine="567"/>
        <w:jc w:val="both"/>
      </w:pPr>
      <w:r>
        <w:rPr>
          <w:rFonts w:ascii="Times New Roman" w:cs="Times New Roman" w:eastAsia="SimSun" w:hAnsi="Times New Roman"/>
          <w:b/>
          <w:bCs/>
        </w:rPr>
        <w:t xml:space="preserve">RQ1 (responsiveness).</w:t>
      </w:r>
      <w:r>
        <w:rPr>
          <w:rFonts w:ascii="Times New Roman" w:cs="Times New Roman" w:eastAsia="SimSun" w:hAnsi="Times New Roman"/>
        </w:rPr>
        <w:t xml:space="preserve"> How strongly do LLM-recommended portfolios vary with the investor's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w:t>
      </w:r>
      <w:r>
        <w:rPr>
          <w:rFonts w:ascii="Times New Roman" w:cs="Times New Roman" w:eastAsia="SimSun" w:hAnsi="Times New Roman"/>
        </w:rPr>
        <w:t xml:space="preserve"> How often do recommendations breach objective suitability benchmarks: the product-risk matching rule, horizon-based limits, holding-period constraints, and the investor's stated loss tolerance as checked against historical fund returns?</w:t>
      </w:r>
    </w:p>
    <w:p>
      <w:pPr>
        <w:spacing w:after="120" w:line="276" w:lineRule="auto"/>
        <w:ind w:firstLine="567"/>
        <w:jc w:val="both"/>
      </w:pPr>
      <w:r>
        <w:rPr>
          <w:rFonts w:ascii="Times New Roman" w:cs="Times New Roman" w:eastAsia="SimSun" w:hAnsi="Times New Roman"/>
          <w:b/>
          <w:bCs/>
        </w:rPr>
        <w:t xml:space="preserve">RQ3 (prompt-level guardrail).</w:t>
      </w:r>
      <w:r>
        <w:rPr>
          <w:rFonts w:ascii="Times New Roman" w:cs="Times New Roman" w:eastAsia="SimSun" w:hAnsi="Times New Roman"/>
        </w:rPr>
        <w:t xml:space="preserve"> Does an explicit suitability protocol in the deployment prompt improve alignment and reduce breaches, and does it make portfolios more conservative than the investor's profile warrants?</w:t>
      </w:r>
    </w:p>
    <w:p>
      <w:pPr>
        <w:spacing w:after="120" w:line="276" w:lineRule="auto"/>
        <w:ind w:firstLine="567"/>
        <w:jc w:val="both"/>
      </w:pPr>
      <w:r>
        <w:rPr>
          <w:rFonts w:ascii="Times New Roman" w:cs="Times New Roman" w:eastAsia="SimSun" w:hAnsi="Times New Roman"/>
          <w:b/>
          <w:bCs/>
        </w:rPr>
        <w:t xml:space="preserve">RQ4 (reliability).</w:t>
      </w:r>
      <w:r>
        <w:rPr>
          <w:rFonts w:ascii="Times New Roman" w:cs="Times New Roman" w:eastAsia="SimSun" w:hAnsi="Times New Roman"/>
        </w:rPr>
        <w:t xml:space="preserve"> How consistent are recommendations for the same investor across repeated queries, and how do they change when one attribute is altered and all else is held constant?</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these dimensions?</w:t>
      </w:r>
    </w:p>
    <w:p>
      <w:pPr>
        <w:spacing w:after="120" w:line="276" w:lineRule="auto"/>
        <w:ind w:firstLine="567"/>
        <w:jc w:val="both"/>
      </w:pPr>
      <w:r>
        <w:rPr>
          <w:rFonts w:ascii="Times New Roman" w:cs="Times New Roman" w:eastAsia="SimSun" w:hAnsi="Times New Roman"/>
        </w:rPr>
        <w:t xml:space="preserve">The hypotheses were fixed before any model was queried.</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holding risk tolerance and age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holding risk tolerance and horizon constant. Life-cycle theory justifies a modest age effect even at a fixed horizon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This follows from Ross and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the rate of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an investor's attributes pull in opposite directions, namely aggressive investors with horizons under three years. Sycophancy research (Sharma et al., 2024) suggests a model may follow the stated appetite for risk rather than the constraint.</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yield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portfolio theory the right share of risky assets depends on risk aversion and on total wealth, including human capital. The ability to adjust labour supply lets a worker take more financial risk (Bodie et al., 1992). When labour income behaves like a bond, the optimal equity share broadly declines with age as the implicit bond holding runs down (Cocco et al., 2005). Horizon matters through liquidity: money needed within months cannot wait for a recovery, whatever the investor's attitude to risk. Risk tolerance itself is measured with questionnaires that combine attitudes, past behaviour and hypothetical losses (Grable &amp; Lytton, 1999). The risk classes in this study follow that logic.</w:t>
      </w:r>
    </w:p>
    <w:p>
      <w:pPr>
        <w:spacing w:after="120" w:line="276" w:lineRule="auto"/>
        <w:ind w:firstLine="567"/>
        <w:jc w:val="both"/>
      </w:pPr>
      <w:r>
        <w:rPr>
          <w:rFonts w:ascii="Times New Roman" w:cs="Times New Roman" w:eastAsia="SimSun" w:hAnsi="Times New Roman"/>
        </w:rPr>
        <w:t xml:space="preserve">The legal meaning in China is set by the CSRC's </w:t>
      </w:r>
      <w:r>
        <w:rPr>
          <w:rFonts w:ascii="Times New Roman" w:cs="Times New Roman" w:eastAsia="SimSun" w:hAnsi="Times New Roman"/>
          <w:i/>
          <w:iCs/>
        </w:rPr>
        <w:t xml:space="preserve">Measures for the Suitability Management of Securities and Futures Investors</w:t>
      </w:r>
      <w:r>
        <w:rPr>
          <w:rFonts w:ascii="Times New Roman" w:cs="Times New Roman" w:eastAsia="SimSun" w:hAnsi="Times New Roman"/>
        </w:rPr>
        <w:t xml:space="preserve"> (CSRC Order No. 130 of 2016, amended in 2020). The Measures require institutions to collect each investor's objectives, including horizon, product types and expected return, and to classify and match investors and products (CSRC, 2020). For fund distribution, the AMAC (2017) guideline divides ordinary investors into classes C1 (most conservative) to C5 and products into ratings R1 to R5. Distributors apply a ceiling rule: C1 investors may buy only R1 products, C2 investors R1 and R2, and so on up to C5. The rule is deliberately simple. It does not say how much of a moderate investor's money belongs in R3 funds, and it does not stop a short-horizon investor in a high class from holding only R4 equity funds. This gap between the legal ceiling and economic common sense motivates the horizon and liquidity benchmarks used here.</w:t>
      </w:r>
    </w:p>
    <w:p>
      <w:pPr>
        <w:pStyle w:val="Heading2"/>
        <w:keepNext/>
        <w:spacing w:after="120" w:before="200" w:line="276" w:lineRule="auto"/>
      </w:pPr>
      <w:r>
        <w:rPr>
          <w:rFonts w:ascii="Times New Roman" w:cs="Times New Roman" w:eastAsia="SimSun" w:hAnsi="Times New Roman"/>
          <w:b/>
          <w:bCs/>
          <w:sz w:val="24"/>
          <w:szCs w:val="24"/>
        </w:rPr>
        <w:t xml:space="preserve">3.2 Human and automated advisers</w:t>
      </w:r>
    </w:p>
    <w:p>
      <w:pPr>
        <w:spacing w:after="120" w:line="276" w:lineRule="auto"/>
        <w:ind w:firstLine="567"/>
        <w:jc w:val="both"/>
      </w:pPr>
      <w:r>
        <w:rPr>
          <w:rFonts w:ascii="Times New Roman" w:cs="Times New Roman" w:eastAsia="SimSun" w:hAnsi="Times New Roman"/>
        </w:rPr>
        <w:t xml:space="preserve">The record of human advice is mixed. Foerster et al. (2017) found that Canadian advisers placed clients in similar portfolios regardless of risk preferences or life-cycle stage; adviser fixed effects explained more of a portfolio's risk than the client's own characteristics. In an audit study, Mullainathan et al. (2012) found that advisers reinforced biases that served their own interests, encouraging return chasing and high-fee active funds. Gennaioli et al. (2015) explain why such advice survives: investors delegate to "money doctors" they trust, and trust rather than quality sustains the relationship. A fluent chatbot may earn similar trust.</w:t>
      </w:r>
    </w:p>
    <w:p>
      <w:pPr>
        <w:spacing w:after="120" w:line="276" w:lineRule="auto"/>
        <w:ind w:firstLine="567"/>
        <w:jc w:val="both"/>
      </w:pPr>
      <w:r>
        <w:rPr>
          <w:rFonts w:ascii="Times New Roman" w:cs="Times New Roman" w:eastAsia="SimSun" w:hAnsi="Times New Roman"/>
        </w:rPr>
        <w:t xml:space="preserve">Robo-advisers were meant to standardise good practice. D'Acunto et al. (2019) found that a portfolio optimiser improved diversification and reduced behavioural biases among previously undiversified investors. Capponi et al. (2022) model an adviser that learns the client's risk profile through repeated interaction, trading timely information against noise in the reported profile. Both concern systems built for advice. A general-purpose LLM has no questionnaire, product database or suitability check unless a deployer adds them, which is the situation this study simulates.</w:t>
      </w:r>
    </w:p>
    <w:p>
      <w:pPr>
        <w:pStyle w:val="Heading2"/>
        <w:keepNext/>
        <w:spacing w:after="120" w:before="200" w:line="276" w:lineRule="auto"/>
      </w:pPr>
      <w:r>
        <w:rPr>
          <w:rFonts w:ascii="Times New Roman" w:cs="Times New Roman" w:eastAsia="SimSun" w:hAnsi="Times New Roman"/>
          <w:b/>
          <w:bCs/>
          <w:sz w:val="24"/>
          <w:szCs w:val="24"/>
        </w:rPr>
        <w:t xml:space="preserve">3.3 Large language models as investment advisers</w:t>
      </w:r>
    </w:p>
    <w:p>
      <w:pPr>
        <w:spacing w:after="120" w:line="276" w:lineRule="auto"/>
        <w:ind w:firstLine="567"/>
        <w:jc w:val="both"/>
      </w:pPr>
      <w:r>
        <w:rPr>
          <w:rFonts w:ascii="Times New Roman" w:cs="Times New Roman" w:eastAsia="SimSun" w:hAnsi="Times New Roman"/>
        </w:rPr>
        <w:t xml:space="preserve">Niszczota and Abbas (2023) tested GPT models on financial literacy questions and studied how people use them for advice. Lo and Ross (2024) identify three obstacles to trusting such systems: tailoring general expertise to an individual, aligning with the user's ethical standards, and meeting regulatory requirements. Oehler and Horn (2024) compared ChatGPT's portfolios with those of established robo-advisers. Fieberg et al. (2025), with 32 models and 64 profiles, found that models generally set market and risk exposure in line with investor traits.</w:t>
      </w:r>
    </w:p>
    <w:p>
      <w:pPr>
        <w:spacing w:after="120" w:line="276" w:lineRule="auto"/>
        <w:ind w:firstLine="567"/>
        <w:jc w:val="both"/>
      </w:pPr>
      <w:r>
        <w:rPr>
          <w:rFonts w:ascii="Times New Roman" w:cs="Times New Roman" w:eastAsia="SimSun" w:hAnsi="Times New Roman"/>
        </w:rPr>
        <w:t xml:space="preserve">Studies of how the tailoring happens are less reassuring. Ross and Lo (2026) fitted interpretable models to GPT-4o's recommendations for 1,000 synthetic clients and found decision-tree-like heuristics; giving the model tools improved diversification but made recommendations more alike across clients. Choukhmane et al. (2026) found that LLM advice would move households towards life-cycle prescriptions, including equity shares that fall with age, but that it varied with prompt wording: about two-thirds of the gender gap in recommended equity came from how men and women wrote their prompts. Foltyn and Olsson (2026) isolated the label effect across 33 models: female framing lowered recommended equity by about 1.8 percentage points. Barbieri et al. (2026) argue that recommendations should first be audited as executable actions, checking validity and stability across repeated runs before judging returns.</w:t>
      </w:r>
    </w:p>
    <w:p>
      <w:pPr>
        <w:pStyle w:val="Heading2"/>
        <w:keepNext/>
        <w:spacing w:after="120" w:before="200" w:line="276" w:lineRule="auto"/>
      </w:pPr>
      <w:r>
        <w:rPr>
          <w:rFonts w:ascii="Times New Roman" w:cs="Times New Roman" w:eastAsia="SimSun" w:hAnsi="Times New Roman"/>
          <w:b/>
          <w:bCs/>
          <w:sz w:val="24"/>
          <w:szCs w:val="24"/>
        </w:rPr>
        <w:t xml:space="preserve">3.4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audit design. Models can produce fluent but false content (Ji et al., 2023), such as fund codes that do not exist. Outputs vary across identical runs, even under nominally deterministic settings (Atil et al., 2024), so one query per client says little about stability. Outputs are sensitive to prompt form as well as content (Sclar et al., 2024), so condition comparisons are clean only if everything else is held fixed. And assistants trained on human preferences tend to tell users what they appear to want (Sharma et al., 2024), so an investor who asks for growth may receive growth even when a short horizon makes it unwise.</w:t>
      </w:r>
    </w:p>
    <w:p>
      <w:pPr>
        <w:pStyle w:val="Heading2"/>
        <w:keepNext/>
        <w:spacing w:after="120" w:before="200" w:line="276" w:lineRule="auto"/>
      </w:pPr>
      <w:r>
        <w:rPr>
          <w:rFonts w:ascii="Times New Roman" w:cs="Times New Roman" w:eastAsia="SimSun" w:hAnsi="Times New Roman"/>
          <w:b/>
          <w:bCs/>
          <w:sz w:val="24"/>
          <w:szCs w:val="24"/>
        </w:rPr>
        <w:t xml:space="preserve">3.5 The audit method and the gap</w:t>
      </w:r>
    </w:p>
    <w:p>
      <w:pPr>
        <w:spacing w:after="120" w:line="276" w:lineRule="auto"/>
        <w:ind w:firstLine="567"/>
        <w:jc w:val="both"/>
      </w:pPr>
      <w:r>
        <w:rPr>
          <w:rFonts w:ascii="Times New Roman" w:cs="Times New Roman" w:eastAsia="SimSun" w:hAnsi="Times New Roman"/>
        </w:rPr>
        <w:t xml:space="preserve">Audit studies identify differential treatment by sending otherwise identical applications that differ in one attribute (Bertrand &amp; Mullainathan, 2004; Mullainathan et al., 2012). LLM audits extend the method with synthetic clients in any number and complete control over wording. None of the studies above combines an orthogonal design that separates the weights of age, horizon and risk tolerance; scoring against a real regulatory matching rule with real product ratings; a within-investor test of a prompt-level guardrail; and a historical check of each recommended portfolio. This study combines them in the Chinese fund market, where the C1-C5 and R1-R5 framework gives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 provided an example audit that compared recommendations made from memory with recommendations made from a supplied fund list, an API-calling script and a presentation template. We used them as orientation only. This study asks a different question, uses its own profiles, prompts and fund menu, and re-verifies every fund and reference. Four references in the example could not be found in any bibliographic database, and its fund list predates an August 2026 revision of the issuer's risk ratings. Our runner keeps the example script's OpenAI-compatible calls, retries and resumability, and adds append-only logging, prompt hashing, randomised call order and token accounting.</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and two prompt conditions and three models vary within investors (Table 1, Figure 1). Each of the 200 synthetic investors occupies one cell of the 5 (horizon) x 5 (risk tolerance) x 8 (age) factorial and is advised by every model under both conditions. The design is therefore repeated-measures: the 1,200 main observations are not 1,200 different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planned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 (via Volcano Ark)</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Consistency replicates 2 and 3 add to each investor's main-sample reply.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Inputs (1, 2) and treatments (3, 4) are fixed before any model is queried. All calls are logged before coding (5); coded portfolios are back-tested (6) and analysed (7).</w:t>
      </w:r>
    </w:p>
    <w:p>
      <w:pPr>
        <w:pStyle w:val="Heading2"/>
        <w:keepNext/>
        <w:spacing w:after="120" w:before="200" w:line="276" w:lineRule="auto"/>
      </w:pPr>
      <w:r>
        <w:rPr>
          <w:rFonts w:ascii="Times New Roman" w:cs="Times New Roman" w:eastAsia="SimSun" w:hAnsi="Times New Roman"/>
          <w:b/>
          <w:bCs/>
          <w:sz w:val="24"/>
          <w:szCs w:val="24"/>
        </w:rPr>
        <w:t xml:space="preserve">4.3 Experimental conditions and controls</w:t>
      </w:r>
    </w:p>
    <w:p>
      <w:pPr>
        <w:spacing w:after="120" w:line="276" w:lineRule="auto"/>
        <w:ind w:firstLine="567"/>
        <w:jc w:val="both"/>
      </w:pPr>
      <w:r>
        <w:rPr>
          <w:rFonts w:ascii="Times New Roman" w:cs="Times New Roman" w:eastAsia="SimSun" w:hAnsi="Times New Roman"/>
        </w:rPr>
        <w:t xml:space="preserve">The conditions represent two ways a fund platform might deploy a general-purpose model. Under BASE, the system prompt casts the model as an adviser on a licensed distribution platform, lists the menu with each fund's risk rating and specifies a JSON response. Under SUIT, the same prompt is followed by a four-step protocol: classify the client into C1 to C5; recommend only funds rated at or below that class; check each fund against the horizon, liquidity need and any minimum holding period; and state and resolve any conflict in the client's profile. The BASE prompt is an exact prefix of the SUIT prompt (verified by an automated test), so the protocol is the only difference. Because ratings appear in both conditions, a BASE breach cannot be blamed on missing information.</w:t>
      </w:r>
    </w:p>
    <w:p>
      <w:pPr>
        <w:spacing w:after="120" w:line="276" w:lineRule="auto"/>
        <w:ind w:firstLine="567"/>
        <w:jc w:val="both"/>
      </w:pPr>
      <w:r>
        <w:rPr>
          <w:rFonts w:ascii="Times New Roman" w:cs="Times New Roman" w:eastAsia="SimSun" w:hAnsi="Times New Roman"/>
        </w:rPr>
        <w:t xml:space="preserve">Everything else is held constant: profile templates and field order; the absence of gender, names, cities and dependants; the statement that emergency savings are held separately; the menu, its order and wording; messages, output limits and temperature. Calls are issued in random order so that a provider incident or silent model update cannot coincide with one condition.</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so a stated horizon belongs to exactly one band (Table 2). The five risk classes are defined on the same three criteria, so they differ in degree rather than kind (Table 3). Age bands cover ages 18 to 85 without gaps and follow life-cycle stages: 18-24, 25-34, 35-44, 45-54, 55-59, 60-64, 65-74 and 75-85 (A1 to A8). The narrower bands between 55 and 64 cover the years in which retirement decisions are made.</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strategy</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of horizon, risk class and age band occurs exactly once, giving 40 investors per horizon band and risk class and 25 per age band. Random sampling would have produced uneven cells and correlated attributes, making it impossible to tell an age effect from the effect of the horizon that tends to accompany age. With one investor per cell, every pair of attributes is independent (Cramer's V = 0). The price is realism: the sample contains, for example, 80-year-olds with horizons over ten years. Rather than discard such cells, the profiles were made internally consistent (Section 5.3). Exact ages, horizons and secondary attributes were drawn within each cell with a fixed seed, and identifiers were assigned after shuffling, so an identifier carries no information.</w:t>
      </w:r>
    </w:p>
    <w:p>
      <w:pPr>
        <w:pStyle w:val="Heading2"/>
        <w:keepNext/>
        <w:spacing w:after="120" w:before="200" w:line="276" w:lineRule="auto"/>
      </w:pPr>
      <w:r>
        <w:rPr>
          <w:rFonts w:ascii="Times New Roman" w:cs="Times New Roman" w:eastAsia="SimSun" w:hAnsi="Times New Roman"/>
          <w:b/>
          <w:bCs/>
          <w:sz w:val="24"/>
          <w:szCs w:val="24"/>
        </w:rPr>
        <w:t xml:space="preserve">5.3 Secondary attributes and consistency</w:t>
      </w:r>
    </w:p>
    <w:p>
      <w:pPr>
        <w:spacing w:after="120" w:line="276" w:lineRule="auto"/>
        <w:ind w:firstLine="567"/>
        <w:jc w:val="both"/>
      </w:pPr>
      <w:r>
        <w:rPr>
          <w:rFonts w:ascii="Times New Roman" w:cs="Times New Roman" w:eastAsia="SimSun" w:hAnsi="Times New Roman"/>
        </w:rPr>
        <w:t xml:space="preserve">Each profile also states employment, an objective, a liquidity need, investment experience and an amount to invest, derived from age and horizon by explicit rules. Only investors aged 21 or younger are students and only those aged 60 or older are retired. Experience cannot exceed age minus 18 years. Near-term spending objectives occur only with horizons under a year, retirement-income objectives only from age 50, and legacy objectives only from age 65 with a long horizon, which is how an 80-year-old can coherently hold a 12-year horizon. These attributes are not independent variables; they serve realism and enter robustness checks as covariates. As a result, main-sample age and horizon effects are effects of realistic bundles (a 70-year-old is also retired), and the probe module isolates each attribute on its own.</w:t>
      </w:r>
    </w:p>
    <w:p>
      <w:pPr>
        <w:pStyle w:val="Heading2"/>
        <w:keepNext/>
        <w:spacing w:after="120" w:before="200" w:line="276" w:lineRule="auto"/>
      </w:pPr>
      <w:r>
        <w:rPr>
          <w:rFonts w:ascii="Times New Roman" w:cs="Times New Roman" w:eastAsia="SimSun" w:hAnsi="Times New Roman"/>
          <w:b/>
          <w:bCs/>
          <w:sz w:val="24"/>
          <w:szCs w:val="24"/>
        </w:rPr>
        <w:t xml:space="preserve">5.4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covering counts, identifiers, missing values, factorial coverage, band consistency, the consistency rules, duplicates and attribute independence. All pass (Appendix B). Forty investors, eight per risk class, form the consistency subsample and are queried twice more under each condition and model. For the probe module, ten anchors were spread so that each risk class and horizon appears twice and each age band at least once. Each anchor was rewritten with one attribute moved through all its other levels, using neutral secondary wording valid at every level (for example "stable regular income (salary or pension)"). Coinciding versions are queried once. Table 4 summarises the samples.</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2461"/>
        <w:gridCol w:w="2344"/>
        <w:gridCol w:w="2259"/>
      </w:tblGrid>
      <w:tr>
        <w:trPr>
          <w:tblHeader/>
        </w:trPr>
        <w:tc>
          <w:tcPr>
            <w:tcW w:type="dxa" w:w="19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Sample</w:t>
            </w:r>
          </w:p>
        </w:tc>
        <w:tc>
          <w:tcPr>
            <w:tcW w:type="dxa" w:w="246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profiles</w:t>
            </w:r>
          </w:p>
        </w:tc>
        <w:tc>
          <w:tcPr>
            <w:tcW w:type="dxa" w:w="234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Structure</w:t>
            </w:r>
          </w:p>
        </w:tc>
        <w:tc>
          <w:tcPr>
            <w:tcW w:type="dxa" w:w="22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Use</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One per horizon x risk x age cell</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RQ1-RQ3, RQ5</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 per risk class</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 replicates 2 and 3</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versions of 10 anchors (138 distinct texts)</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One attribute differs from the anchor</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 sensitivity</w:t>
            </w:r>
          </w:p>
        </w:tc>
      </w:tr>
      <w:tr>
        <w:trPr>
          <w:tblHeader w:val="false"/>
        </w:trPr>
        <w:tc>
          <w:tcPr>
            <w:tcW w:type="dxa" w:w="19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Pilot</w:t>
            </w:r>
          </w:p>
        </w:tc>
        <w:tc>
          <w:tcPr>
            <w:tcW w:type="dxa" w:w="246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of the 200</w:t>
            </w:r>
          </w:p>
        </w:tc>
        <w:tc>
          <w:tcPr>
            <w:tcW w:type="dxa" w:w="234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Random</w:t>
            </w:r>
          </w:p>
        </w:tc>
        <w:tc>
          <w:tcPr>
            <w:tcW w:type="dxa" w:w="22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Parsing check only</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profiles are synthetic. A check confirms that every probe version differs from its anchor in exactly one line.</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platform deployment would restrict advice to the platform's shelf; a menu makes every recommendation codable; and it separates suitability from fabrication, since a model answering from memory can name products that do not exist (Ji et al., 2023). Off-menu codes are still counted as feasibility errors.</w:t>
      </w:r>
    </w:p>
    <w:p>
      <w:pPr>
        <w:spacing w:after="120" w:line="276" w:lineRule="auto"/>
        <w:ind w:firstLine="567"/>
        <w:jc w:val="both"/>
      </w:pPr>
      <w:r>
        <w:rPr>
          <w:rFonts w:ascii="Times New Roman" w:cs="Times New Roman" w:eastAsia="SimSun" w:hAnsi="Times New Roman"/>
        </w:rPr>
        <w:t xml:space="preserve">The funds are open-end funds sold to mainland retail investors, mostly A shares, each with at least three years of history. They cover money market, ultra-short, pure and enhanced bond, flexible and equity-oriented hybrid, broad and sector equity index, four QDII funds investing in US, Hong Kong and global energy equities, a gold fund, and a target-risk pension fund of funds with a three-year minimum holding period (Table 5; full list in Appendix D). Fourteen managers are represented and none contributes more than three funds. The pension fund's lock-up provides a direct liquidity test: recommending it to an investor who needs the money within three years is unsuitable regardless of risk class.</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 (Appendix D).</w:t>
      </w:r>
    </w:p>
    <w:p>
      <w:pPr>
        <w:spacing w:after="120" w:line="276" w:lineRule="auto"/>
        <w:ind w:firstLine="567"/>
        <w:jc w:val="both"/>
      </w:pPr>
      <w:r>
        <w:rPr>
          <w:rFonts w:ascii="Times New Roman" w:cs="Times New Roman" w:eastAsia="SimSun" w:hAnsi="Times New Roman"/>
        </w:rPr>
        <w:t xml:space="preserve">Only Chinese-registered funds are used. Mainland investors cannot buy foreign-domiciled funds directly, and such funds carry no R1-R5 rating. QDII funds provide overseas exposure inside the domestic framework, and their portfolio share is analysed as a measure of international diversification. Identities were checked against fund-manager key-facts statements and periodic reports indexed by several financial data sites. Product risk ratings and return histories then had to come from consistent sources. The course data service (Tonghuashun data via fuyao.aicubes.cn) supplies adjusted net asset values but, as its live responses and field documentation confirmed, no product risk rating. Ratings were therefore taken from the structured rating field of Eastmoney's Tiantian Fund platform, a licensed distributor whose ratings govern sales on that platform, and retrieved for all 23 funds on 23 October 2026, together with each fund's stock share from its 30 June 2026 report. Ratings change over time (one manager re-rated more than twenty funds in August 2026), so the retrieval date is part of the data. The resulting menu contains three R1 funds (money market), four R2 funds (bond), two R3 funds (an enhanced-return bond fund and a flexible hybrid) and fourteen R4 funds, which include the gold fund and the pension fund of funds; no menu fund is rated R5. One consequence matters for the analysis: because every fund is rated R4 or lower, a C4 or C5 investor cannot breach the rating ceiling, so the rating-breach test is informative only for investors in classes C1 to C3. Equity exposure is each fund's latest reported stock share where the fund holds stocks directly, and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plays the platform's deployment instructions: the adviser role, the 23-fund menu (code, name, manager, type, rating and notes on tracked index, QDII status and holding period), the response format and, under SUIT, the protocol. The user message is the investor: "Here is my situation:", the profile, and a request for a portfolio (Appendix C). The JSON format asks for codes, whole-number weights, a reason per fund, a dollar-cost-averaging flag, a rebalancing rule, risk warnings and a short explanation. Structured output trades some realism for reliable coding, and replies that break the format are recorded as failures, never repaired by hand. The risk class code never appears, so under SUIT the model must classify the investor itself and its classification can be scored. The menu order is fixed. Given the sensitivity of LLMs to presentation (Sclar et al., 2024), this keeps conditions comparable at the cost of confounding menu position with fund appeal.</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6): Doubao-Seed (ByteDance), DeepSeek V4 Flash (DeepSeek) and Kimi (Moonshot AI). All three are reached with one key through the Volcano Engine Ark Agent Plan, the access route specified for the course, using its OpenAI-compatible endpoint with identical messages and settings. Exact identifiers are taken from the plan's model list and recorded with the identifier returned in every response, because hosted models change without notice. Temperature is 0.7 for every model, as in the course's reference script; sampling is therefore stochastic, which the consistency module measures directly.</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6"/>
        <w:gridCol w:w="3567"/>
        <w:gridCol w:w="1693"/>
        <w:gridCol w:w="1880"/>
      </w:tblGrid>
      <w:tr>
        <w:trPr>
          <w:tblHeader/>
        </w:trPr>
        <w:tc>
          <w:tcPr>
            <w:tcW w:type="dxa" w:w="188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3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16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18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 (fallback: GLM)</w:t>
            </w:r>
          </w:p>
        </w:tc>
      </w:tr>
      <w:tr>
        <w:trPr>
          <w:tblHeader w:val="false"/>
        </w:trPr>
        <w:tc>
          <w:tcPr>
            <w:tcW w:type="dxa" w:w="188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3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18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 (Zhipu AI)</w:t>
            </w:r>
          </w:p>
        </w:tc>
      </w:tr>
      <w:tr>
        <w:trPr>
          <w:tblHeader w:val="false"/>
        </w:trPr>
        <w:tc>
          <w:tcPr>
            <w:tcW w:type="dxa" w:w="188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3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doubao-seed-2.0-mini, confirmed at run time</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Flash tier, recorded at run time</w:t>
            </w:r>
          </w:p>
        </w:tc>
        <w:tc>
          <w:tcPr>
            <w:tcW w:type="dxa" w:w="18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Recorded at run time</w:t>
            </w:r>
          </w:p>
        </w:tc>
      </w:tr>
      <w:tr>
        <w:trPr>
          <w:tblHeader w:val="false"/>
        </w:trPr>
        <w:tc>
          <w:tcPr>
            <w:tcW w:type="dxa" w:w="188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3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18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88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3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Thinking disabled</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Thinking disabled</w:t>
            </w:r>
          </w:p>
        </w:tc>
        <w:tc>
          <w:tcPr>
            <w:tcW w:type="dxa" w:w="18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Endpoint default, recorded</w:t>
            </w:r>
          </w:p>
        </w:tc>
      </w:tr>
      <w:tr>
        <w:trPr>
          <w:tblHeader w:val="false"/>
        </w:trPr>
        <w:tc>
          <w:tcPr>
            <w:tcW w:type="dxa" w:w="188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3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18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r>
        <w:trPr>
          <w:tblHeader w:val="false"/>
        </w:trPr>
        <w:tc>
          <w:tcPr>
            <w:tcW w:type="dxa" w:w="188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Retries</w:t>
            </w:r>
          </w:p>
        </w:tc>
        <w:tc>
          <w:tcPr>
            <w:tcW w:type="dxa" w:w="3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attempts, exponential back-off, 180 s timeout</w:t>
            </w:r>
          </w:p>
        </w:tc>
        <w:tc>
          <w:tcPr>
            <w:tcW w:type="dxa" w:w="16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18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the Volcano Engine Ark Agent Plan endpoint (https://ark.cn-beijing.volces.com/api/plan/v3). Settings are in config/experiment_config.json; any parameter a model rejects is dropped and the change is recorded per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run in one random order across models, conditions and modules. Each call is appended to a log the moment it finishes. The record holds the call identifier, the condition and investor, the model requested and returned, every request parameter, SHA-256 hashes of both messages, the raw reply, the finish reason, token usage and timestamps. Logs are never edited. A rerun skips completed calls and retries failed ones, and each run writes a manifest. A 60-call pilot checks parsing before the main run and is excluded from the analysis, and the prompts are frozen after it. A dry run estimates about 3.8 million input tokens; actual usage is taken from provider reports.</w:t>
      </w:r>
    </w:p>
    <w:p>
      <w:pPr>
        <w:spacing w:after="120" w:line="276" w:lineRule="auto"/>
        <w:ind w:firstLine="567"/>
        <w:jc w:val="both"/>
      </w:pPr>
      <w:r>
        <w:rPr>
          <w:rFonts w:ascii="Times New Roman" w:cs="Times New Roman" w:eastAsia="SimSun" w:hAnsi="Times New Roman"/>
        </w:rPr>
        <w:t xml:space="preserve">A deterministic script codes each reply, so the same logs always give the same dataset. It records whether the JSON parsed directly or only after removing a code fence, extracting the object from surrounding text or deleting trailing commas. Unparseable replies stay in the data without portfolio measures. Off-menu codes count as feasibility errors and are dropped from the risk measures, with the remaining weights rescaled to 100. Nothing is imputed (rules in Appendix E).</w:t>
      </w:r>
    </w:p>
    <w:p>
      <w:pPr>
        <w:spacing w:after="120" w:line="276" w:lineRule="auto"/>
        <w:ind w:firstLine="567"/>
        <w:jc w:val="both"/>
      </w:pPr>
      <w:r>
        <w:rPr>
          <w:rFonts w:ascii="Times New Roman" w:cs="Times New Roman" w:eastAsia="SimSun" w:hAnsi="Times New Roman"/>
        </w:rPr>
        <w:t xml:space="preserve">Each coded portfolio is then back-tested over the longest window of complete months, up to 60, that ends in September 2026 and is covered for every fund (the exact window is reported with the results). Adjusted net asset values from the course data service are taken at month ends and the portfolio is rebalanced monthly. The script computes annualised return, volatility, maximum drawdown and the worst rolling 12-month return, and compares the last with the maximum one-year loss the investor said they could accept: none, 5%, 15%, 25% and 40% for C1 to C5. These are historical, descriptive measures, not forecasts.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7 defines the outcome measures. Equity exposure is the main continuous outcome because suitability rules and life-cycle theory speak to it most directly. The weighted product-risk score needs no assumption about holdings because it uses the platform's own ratings.</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Evaluation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5"/>
        <w:gridCol w:w="3057"/>
        <w:gridCol w:w="2984"/>
      </w:tblGrid>
      <w:tr>
        <w:trPr>
          <w:tblHeader/>
        </w:trPr>
        <w:tc>
          <w:tcPr>
            <w:tcW w:type="dxa" w:w="29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30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c>
          <w:tcPr>
            <w:tcW w:type="dxa" w:w="29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Relevance</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Parse success; codable</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at least one on-menu fund</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Unusable advice cannot be executed</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Off-menu rate; weight-sum validity</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Codes not on the menu; weights sum to 100 within 1 point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outcome (RQ1)</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Uses the platform's ratings</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 breach weight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its weight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Regulatory rule</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mismatch</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Evidence-based suitability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QDII share</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 in QDII funds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International diversification</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acknowledgement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vocabulary; conflicts listed (SUIT)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Communication</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accuracy (SUIT)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Profiling</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over three replicates; Jaccard similarity of fund sets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r>
      <w:tr>
        <w:trPr>
          <w:tblHeader w:val="false"/>
        </w:trPr>
        <w:tc>
          <w:tcPr>
            <w:tcW w:type="dxa" w:w="29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30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c>
          <w:tcPr>
            <w:tcW w:type="dxa" w:w="29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of the matching rule and life-cycle reasoning, not regulatory limits.</w:t>
      </w:r>
    </w:p>
    <w:p>
      <w:pPr>
        <w:spacing w:after="120" w:line="276" w:lineRule="auto"/>
        <w:ind w:firstLine="567"/>
        <w:jc w:val="both"/>
      </w:pPr>
      <w:r>
        <w:rPr>
          <w:rFonts w:ascii="Times New Roman" w:cs="Times New Roman" w:eastAsia="SimSun" w:hAnsi="Times New Roman"/>
        </w:rPr>
        <w:t xml:space="preserve">The risk caps translate the product ceilings into equity terms. A C1 investor may hold only money market funds, a C2 investor may add bond funds with limited equity, and each further class unlocks riskier products. The horizon caps express the view that money needed within a year should be almost entirely in assets that cannot fall sharply, and that full equity exposure is defensible only over horizons long enough to recover from a deep bear market. Because both sets of caps are judgements, the rating breach, which involves none, is always reported beside them, and stricter and looser variants are tested.</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8).</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9"/>
        <w:gridCol w:w="4089"/>
        <w:gridCol w:w="3438"/>
      </w:tblGrid>
      <w:tr>
        <w:trPr>
          <w:tblHeader/>
        </w:trPr>
        <w:tc>
          <w:tcPr>
            <w:tcW w:type="dxa" w:w="149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0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4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 with 95% CIs</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Difference in proportions; discordant odds ratio; rank-biserial r; d_z</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49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0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4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table (Holm, 1979). Interpretation rests on effect sizes and intervals, not significance alone (Cohen, 1988).</w:t>
      </w:r>
    </w:p>
    <w:p>
      <w:pPr>
        <w:spacing w:after="120" w:line="276" w:lineRule="auto"/>
        <w:ind w:firstLine="567"/>
        <w:jc w:val="both"/>
      </w:pPr>
      <w:r>
        <w:rPr>
          <w:rFonts w:ascii="Times New Roman" w:cs="Times New Roman" w:eastAsia="SimSun" w:hAnsi="Times New Roman"/>
        </w:rPr>
        <w:t xml:space="preserve">With 200 paired investors per model, the Wilcoxon test has about 80% power for d_z = 0.2, and a Spearman test on 200 investors has similar power for rho of about 0.2. Small effects will therefore often be significant, which is why effect sizes lead the interpretation. Robustness checks repeat the main analyses without repaired parses, off-menu replies or invalid weight sums; count a breach only above 5% of the portfolio; add experience, log amount and income stability as covariates; and recompute equity with category assumptions for every fund.</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This section is written only from the outputs of the experiment (outputs/tables/results_digest.md and outputs/figures). Planned exhibits: 9.1 data quality and feasibility (coded replies, parse failures, off-menu and weight-sum errors by model and condition); 9.2 responsiveness to risk tolerance, horizon and age (Figures 2-4: mean equity by attribute level; Spearman correlations; Figure 5: partial eta squared); 9.3 suitability breaches (rating, horizon, holding-period and loss-tolerance breaches by risk class; Figure 6: rating breaches; Figure 7: risk x horizon heat map); 9.4 effect of the suitability protocol (paired tests); 9.5 consistency and single-attribute sensitivity (ICC, Jaccard; Figure 8: probe curves); 9.6 model differences; 9.7 historical check (Figure 9: worst 12-month return against stated tolerance); 9.8 robustness. No result is reported before the experiment has been run.</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Written after the results are available.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Written after the results are available.</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rPr>
        <w:t xml:space="preserve">Several limitations follow from the design itself, and others will be added once the results show where the method strained.</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written to a template, not real people. A real client's request is vaguer, often inconsistent in ways no rule anticipates, and usually arrives as a conversation rather than a single message. The study therefore measures how models respond to clearly stated profiles. That is close to a best case for tailoring, so failures observed here are likely to understate failures in practice.</w:t>
      </w:r>
    </w:p>
    <w:p>
      <w:pPr>
        <w:spacing w:after="120" w:line="276" w:lineRule="auto"/>
        <w:ind w:firstLine="567"/>
        <w:jc w:val="both"/>
      </w:pPr>
      <w:r>
        <w:rPr>
          <w:rFonts w:ascii="Times New Roman" w:cs="Times New Roman" w:eastAsia="SimSun" w:hAnsi="Times New Roman"/>
          <w:b/>
          <w:bCs/>
        </w:rPr>
        <w:t xml:space="preserve">One menu at one point in time.</w:t>
      </w:r>
      <w:r>
        <w:rPr>
          <w:rFonts w:ascii="Times New Roman" w:cs="Times New Roman" w:eastAsia="SimSun" w:hAnsi="Times New Roman"/>
        </w:rPr>
        <w:t xml:space="preserve"> The 23-fund menu is a single shelf with ratings and allocations retrieved on one date. Ratings change (one manager re-rated more than twenty funds in August 2026), and a different shelf might draw different choices. The back-test window covers a single five-year period. Historical losses describe what the recommended mixes did, not what they will do.</w:t>
      </w:r>
    </w:p>
    <w:p>
      <w:pPr>
        <w:spacing w:after="120" w:line="276" w:lineRule="auto"/>
        <w:ind w:firstLine="567"/>
        <w:jc w:val="both"/>
      </w:pPr>
      <w:r>
        <w:rPr>
          <w:rFonts w:ascii="Times New Roman" w:cs="Times New Roman" w:eastAsia="SimSun" w:hAnsi="Times New Roman"/>
          <w:b/>
          <w:bCs/>
        </w:rPr>
        <w:t xml:space="preserve">Model drift and stochastic output.</w:t>
      </w:r>
      <w:r>
        <w:rPr>
          <w:rFonts w:ascii="Times New Roman" w:cs="Times New Roman" w:eastAsia="SimSun" w:hAnsi="Times New Roman"/>
        </w:rPr>
        <w:t xml:space="preserve"> Hosted models are updated without notice, and responses at temperature 0.7 vary from one call to the next. The study records the model identifier returned with every reply and measures run-to-run variation directly, but it cannot guarantee that a rerun months later would reproduce the same numbers (Atil et al., 2024).</w:t>
      </w:r>
    </w:p>
    <w:p>
      <w:pPr>
        <w:spacing w:after="120" w:line="276" w:lineRule="auto"/>
        <w:ind w:firstLine="567"/>
        <w:jc w:val="both"/>
      </w:pPr>
      <w:r>
        <w:rPr>
          <w:rFonts w:ascii="Times New Roman" w:cs="Times New Roman" w:eastAsia="SimSun" w:hAnsi="Times New Roman"/>
          <w:b/>
          <w:bCs/>
        </w:rPr>
        <w:t xml:space="preserve">One wording per condition.</w:t>
      </w:r>
      <w:r>
        <w:rPr>
          <w:rFonts w:ascii="Times New Roman" w:cs="Times New Roman" w:eastAsia="SimSun" w:hAnsi="Times New Roman"/>
        </w:rPr>
        <w:t xml:space="preserve"> Each condition uses one wording and one fixed menu order. Given the sensitivity of LLMs to prompt format (Sclar et al., 2024), the effect of the suitability protocol is the effect of this particular protocol, and position effects in the menu cannot be separated from the appeal of individual funds.</w:t>
      </w:r>
    </w:p>
    <w:p>
      <w:pPr>
        <w:spacing w:after="120" w:line="276" w:lineRule="auto"/>
        <w:ind w:firstLine="567"/>
        <w:jc w:val="both"/>
      </w:pPr>
      <w:r>
        <w:rPr>
          <w:rFonts w:ascii="Times New Roman" w:cs="Times New Roman" w:eastAsia="SimSun" w:hAnsi="Times New Roman"/>
          <w:b/>
          <w:bCs/>
        </w:rPr>
        <w:t xml:space="preserve">Normative benchmarks.</w:t>
      </w:r>
      <w:r>
        <w:rPr>
          <w:rFonts w:ascii="Times New Roman" w:cs="Times New Roman" w:eastAsia="SimSun" w:hAnsi="Times New Roman"/>
        </w:rPr>
        <w:t xml:space="preserve"> The rating breach rests on an external rule. The equity caps and the five-point tolerance are the researchers' operationalisation, and equity exposure for index feeder funds and the pension fund of funds relies on category assumptions. Robustness checks vary these choices but cannot remove the element of judgement.</w:t>
      </w:r>
    </w:p>
    <w:p>
      <w:pPr>
        <w:spacing w:after="120" w:line="276" w:lineRule="auto"/>
        <w:ind w:firstLine="567"/>
        <w:jc w:val="both"/>
      </w:pPr>
      <w:r>
        <w:rPr>
          <w:rFonts w:ascii="Times New Roman" w:cs="Times New Roman" w:eastAsia="SimSun" w:hAnsi="Times New Roman"/>
          <w:b/>
          <w:bCs/>
        </w:rPr>
        <w:t xml:space="preserve">Automated text coding.</w:t>
      </w:r>
      <w:r>
        <w:rPr>
          <w:rFonts w:ascii="Times New Roman" w:cs="Times New Roman" w:eastAsia="SimSun" w:hAnsi="Times New Roman"/>
        </w:rPr>
        <w:t xml:space="preserve"> Conflict acknowledgement is coded with keyword rules. Until the planned manual validation has been carried out (Appendix E), this measure is treated as indicative.</w:t>
      </w:r>
    </w:p>
    <w:p>
      <w:pPr>
        <w:spacing w:after="120" w:line="276" w:lineRule="auto"/>
        <w:ind w:firstLine="567"/>
        <w:jc w:val="both"/>
      </w:pPr>
      <w:r>
        <w:rPr>
          <w:rFonts w:ascii="Times New Roman" w:cs="Times New Roman" w:eastAsia="SimSun" w:hAnsi="Times New Roman"/>
          <w:b/>
          <w:bCs/>
        </w:rPr>
        <w:t xml:space="preserve">Scope.</w:t>
      </w:r>
      <w:r>
        <w:rPr>
          <w:rFonts w:ascii="Times New Roman" w:cs="Times New Roman" w:eastAsia="SimSun" w:hAnsi="Times New Roman"/>
        </w:rPr>
        <w:t xml:space="preserve"> Gender, region and other demographic signals were deliberately excluded, so the study says nothing about fairness. Fees, taxes and product availability on specific platforms are also outside its scope.</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Written after the results are available.</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product key facts statements and quarterly reports, as indexed by 10jqka.com.cn, howbuy.com, lixinger.com, cfi.cn and finance.sina.com.cn (retrieved 22 October 2026; per-fund URLs in `data/fund_menu_candidates.csv`). Risk ratings, asset allocation and NAV history: course-provided data service, Tonghuashun financial data API (https://fuyao.aicubes.cn/docs/api-reference/overview/), with Eastmoney/Tiantian Fund as fallback, with the source and retrieval timestamp recorded per fund in `data/fund_menu_verification.csv` and `data/nav/_manifest.csv` once retrieved.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Table A1 lists two investors from the main sample: a moderate mid-career investor and a deliberate conflict case, a very aggressive student who needs the money within a year. The texts below are exactly what the models receive after the words "Here is my situation:".</w:t>
      </w:r>
    </w:p>
    <w:p>
      <w:pPr>
        <w:keepNext/>
        <w:spacing w:after="0" w:before="200" w:line="276" w:lineRule="auto"/>
        <w:jc w:val="left"/>
      </w:pPr>
      <w:r>
        <w:rPr>
          <w:rFonts w:ascii="Times New Roman" w:cs="Times New Roman" w:eastAsia="SimSun" w:hAnsi="Times New Roman"/>
          <w:b/>
          <w:bCs/>
        </w:rPr>
        <w:t xml:space="preserve">Table A1</w:t>
      </w:r>
    </w:p>
    <w:p>
      <w:pPr>
        <w:keepNext/>
        <w:spacing w:after="80" w:before="0" w:line="276" w:lineRule="auto"/>
        <w:jc w:val="left"/>
      </w:pPr>
      <w:r>
        <w:rPr>
          <w:rFonts w:ascii="Times New Roman" w:cs="Times New Roman" w:eastAsia="SimSun" w:hAnsi="Times New Roman"/>
          <w:i/>
          <w:iCs/>
        </w:rPr>
        <w:t xml:space="preserve">Selected synthetic investors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
        <w:gridCol w:w="564"/>
        <w:gridCol w:w="974"/>
        <w:gridCol w:w="1282"/>
        <w:gridCol w:w="1385"/>
        <w:gridCol w:w="1590"/>
        <w:gridCol w:w="1282"/>
        <w:gridCol w:w="975"/>
      </w:tblGrid>
      <w:tr>
        <w:trPr>
          <w:tblHeader/>
        </w:trPr>
        <w:tc>
          <w:tcPr>
            <w:tcW w:type="dxa" w:w="9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ID</w:t>
            </w:r>
          </w:p>
        </w:tc>
        <w:tc>
          <w:tcPr>
            <w:tcW w:type="dxa" w:w="56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Age</w:t>
            </w:r>
          </w:p>
        </w:tc>
        <w:tc>
          <w:tcPr>
            <w:tcW w:type="dxa" w:w="9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Horizon</w:t>
            </w:r>
          </w:p>
        </w:tc>
        <w:tc>
          <w:tcPr>
            <w:tcW w:type="dxa" w:w="12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Risk class</w:t>
            </w:r>
          </w:p>
        </w:tc>
        <w:tc>
          <w:tcPr>
            <w:tcW w:type="dxa" w:w="13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Objective</w:t>
            </w:r>
          </w:p>
        </w:tc>
        <w:tc>
          <w:tcPr>
            <w:tcW w:type="dxa" w:w="15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Employment</w:t>
            </w:r>
          </w:p>
        </w:tc>
        <w:tc>
          <w:tcPr>
            <w:tcW w:type="dxa" w:w="12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Experience (y)</w:t>
            </w:r>
          </w:p>
        </w:tc>
        <w:tc>
          <w:tcPr>
            <w:tcW w:type="dxa" w:w="9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Amount (CNY)</w:t>
            </w:r>
          </w:p>
        </w:tc>
      </w:tr>
      <w:tr>
        <w:trPr>
          <w:tblHeader w:val="false"/>
        </w:trPr>
        <w:tc>
          <w:tcPr>
            <w:tcW w:type="dxa" w:w="9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INV-146</w:t>
            </w:r>
          </w:p>
        </w:tc>
        <w:tc>
          <w:tcPr>
            <w:tcW w:type="dxa" w:w="5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47</w:t>
            </w:r>
          </w:p>
        </w:tc>
        <w:tc>
          <w:tcPr>
            <w:tcW w:type="dxa" w:w="9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H3 (4 y)</w:t>
            </w:r>
          </w:p>
        </w:tc>
        <w:tc>
          <w:tcPr>
            <w:tcW w:type="dxa" w:w="12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C3 Moderate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Medium-term goal</w:t>
            </w:r>
          </w:p>
        </w:tc>
        <w:tc>
          <w:tcPr>
            <w:tcW w:type="dxa" w:w="15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Self-employed</w:t>
            </w:r>
          </w:p>
        </w:tc>
        <w:tc>
          <w:tcPr>
            <w:tcW w:type="dxa" w:w="12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w:t>
            </w:r>
          </w:p>
        </w:tc>
        <w:tc>
          <w:tcPr>
            <w:tcW w:type="dxa" w:w="9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560,000</w:t>
            </w:r>
          </w:p>
        </w:tc>
      </w:tr>
      <w:tr>
        <w:trPr>
          <w:tblHeader w:val="false"/>
        </w:trPr>
        <w:tc>
          <w:tcPr>
            <w:tcW w:type="dxa" w:w="9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INV-098</w:t>
            </w:r>
          </w:p>
        </w:tc>
        <w:tc>
          <w:tcPr>
            <w:tcW w:type="dxa" w:w="56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21</w:t>
            </w:r>
          </w:p>
        </w:tc>
        <w:tc>
          <w:tcPr>
            <w:tcW w:type="dxa" w:w="9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H1 (0.75 y)</w:t>
            </w:r>
          </w:p>
        </w:tc>
        <w:tc>
          <w:tcPr>
            <w:tcW w:type="dxa" w:w="12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C5 Very aggressive</w:t>
            </w:r>
          </w:p>
        </w:tc>
        <w:tc>
          <w:tcPr>
            <w:tcW w:type="dxa" w:w="13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Near-term spending</w:t>
            </w:r>
          </w:p>
        </w:tc>
        <w:tc>
          <w:tcPr>
            <w:tcW w:type="dxa" w:w="15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University student with part-time income</w:t>
            </w:r>
          </w:p>
        </w:tc>
        <w:tc>
          <w:tcPr>
            <w:tcW w:type="dxa" w:w="12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w:t>
            </w:r>
          </w:p>
        </w:tc>
        <w:tc>
          <w:tcPr>
            <w:tcW w:type="dxa" w:w="9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55,000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Risk class codes are shown here for the reader but are never shown to the models.</w:t>
      </w:r>
    </w:p>
    <w:p>
      <w:pPr>
        <w:spacing w:after="120" w:line="276" w:lineRule="auto"/>
        <w:ind w:firstLine="567"/>
        <w:jc w:val="both"/>
      </w:pPr>
      <w:r>
        <w:rPr>
          <w:rFonts w:ascii="Times New Roman" w:cs="Times New Roman" w:eastAsia="SimSun" w:hAnsi="Times New Roman"/>
          <w:b/>
          <w:bCs/>
        </w:rPr>
        <w:t xml:space="preserve">INV-146</w:t>
      </w:r>
      <w:r>
        <w:rPr>
          <w:rFonts w:ascii="Times New Roman" w:cs="Times New Roman" w:eastAsia="SimSun" w:hAnsi="Times New Roman"/>
        </w:rPr>
        <w:t xml:space="preserve"> (H3-C3-A4)</w:t>
      </w:r>
    </w:p>
    <w:p>
      <w:pPr>
        <w:shd w:fill="F5F5F5" w:color="auto" w:val="clear"/>
        <w:spacing w:line="276" w:lineRule="auto"/>
        <w:ind w:left="360"/>
      </w:pPr>
      <w:r>
        <w:rPr>
          <w:rFonts w:ascii="Times New Roman" w:cs="Times New Roman" w:eastAsia="SimSun" w:hAnsi="Times New Roman"/>
          <w:sz w:val="20"/>
          <w:szCs w:val="20"/>
        </w:rPr>
        <w:t xml:space="preserve">Age: 47</w:t>
      </w:r>
    </w:p>
    <w:p>
      <w:pPr>
        <w:shd w:fill="F5F5F5" w:color="auto" w:val="clear"/>
        <w:spacing w:line="276" w:lineRule="auto"/>
        <w:ind w:left="360"/>
      </w:pPr>
      <w:r>
        <w:rPr>
          <w:rFonts w:ascii="Times New Roman" w:cs="Times New Roman" w:eastAsia="SimSun" w:hAnsi="Times New Roman"/>
          <w:sz w:val="20"/>
          <w:szCs w:val="20"/>
        </w:rPr>
        <w:t xml:space="preserve">Employment and income: Self-employed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560,000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save for a larger home.</w:t>
      </w:r>
    </w:p>
    <w:p>
      <w:pPr>
        <w:shd w:fill="F5F5F5" w:color="auto" w:val="clear"/>
        <w:spacing w:line="276" w:lineRule="auto"/>
        <w:ind w:left="360"/>
      </w:pPr>
      <w:r>
        <w:rPr>
          <w:rFonts w:ascii="Times New Roman" w:cs="Times New Roman" w:eastAsia="SimSun" w:hAnsi="Times New Roman"/>
          <w:sz w:val="20"/>
          <w:szCs w:val="20"/>
        </w:rPr>
        <w:t xml:space="preserve">Investment horizon: about 4 years;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moderate - I will withdraw the money when the goal falls due.</w:t>
      </w:r>
    </w:p>
    <w:p>
      <w:pPr>
        <w:shd w:fill="F5F5F5" w:color="auto" w:val="clear"/>
        <w:spacing w:line="276" w:lineRule="auto"/>
        <w:ind w:left="360"/>
      </w:pPr>
      <w:r>
        <w:rPr>
          <w:rFonts w:ascii="Times New Roman" w:cs="Times New Roman" w:eastAsia="SimSun" w:hAnsi="Times New Roman"/>
          <w:sz w:val="20"/>
          <w:szCs w:val="20"/>
        </w:rPr>
        <w:t xml:space="preserve">Risk tolerance: Moderate. I can accept a temporary decline of up to about 15% in a year. My priority is a balance between growth and stability. If the stock market fell by 20%, I would hold my investments and wait for a recovery.</w:t>
      </w:r>
    </w:p>
    <w:p>
      <w:pPr>
        <w:shd w:fill="F5F5F5" w:color="auto" w:val="clear"/>
        <w:spacing w:line="276" w:lineRule="auto"/>
        <w:ind w:left="360"/>
      </w:pPr>
      <w:r>
        <w:rPr>
          <w:rFonts w:ascii="Times New Roman" w:cs="Times New Roman" w:eastAsia="SimSun" w:hAnsi="Times New Roman"/>
          <w:sz w:val="20"/>
          <w:szCs w:val="20"/>
        </w:rPr>
        <w:t xml:space="preserve">Investment experience: 27 years of experience with mutual funds and bank wealth-management products.</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Anchor PRB-03 and one of its 15 single-attribute versions. Only the varied line changes; every other line is identical across all versions.</w:t>
      </w:r>
    </w:p>
    <w:p>
      <w:pPr>
        <w:spacing w:after="120" w:line="276" w:lineRule="auto"/>
        <w:ind w:firstLine="567"/>
        <w:jc w:val="both"/>
      </w:pPr>
      <w:r>
        <w:rPr>
          <w:rFonts w:ascii="Times New Roman" w:cs="Times New Roman" w:eastAsia="SimSun" w:hAnsi="Times New Roman"/>
          <w:i/>
          <w:iCs/>
        </w:rPr>
        <w:t xml:space="preserve">PRB-03-ANCHOR</w:t>
      </w:r>
    </w:p>
    <w:p>
      <w:pPr>
        <w:shd w:fill="F5F5F5" w:color="auto" w:val="clear"/>
        <w:spacing w:line="276" w:lineRule="auto"/>
        <w:ind w:left="360"/>
      </w:pPr>
      <w:r>
        <w:rPr>
          <w:rFonts w:ascii="Times New Roman" w:cs="Times New Roman" w:eastAsia="SimSun" w:hAnsi="Times New Roman"/>
          <w:sz w:val="20"/>
          <w:szCs w:val="20"/>
        </w:rPr>
        <w:t xml:space="preserve">Age: 80</w:t>
      </w:r>
    </w:p>
    <w:p>
      <w:pPr>
        <w:shd w:fill="F5F5F5" w:color="auto" w:val="clear"/>
        <w:spacing w:line="276" w:lineRule="auto"/>
        <w:ind w:left="360"/>
      </w:pPr>
      <w:r>
        <w:rPr>
          <w:rFonts w:ascii="Times New Roman" w:cs="Times New Roman" w:eastAsia="SimSun" w:hAnsi="Times New Roman"/>
          <w:sz w:val="20"/>
          <w:szCs w:val="20"/>
        </w:rPr>
        <w:t xml:space="preserve">Employment and income: stable regular income (salary or pension)</w:t>
      </w:r>
    </w:p>
    <w:p>
      <w:pPr>
        <w:shd w:fill="F5F5F5" w:color="auto" w:val="clear"/>
        <w:spacing w:line="276" w:lineRule="auto"/>
        <w:ind w:left="360"/>
      </w:pPr>
      <w:r>
        <w:rPr>
          <w:rFonts w:ascii="Times New Roman" w:cs="Times New Roman" w:eastAsia="SimSun" w:hAnsi="Times New Roman"/>
          <w:sz w:val="20"/>
          <w:szCs w:val="20"/>
        </w:rPr>
        <w:t xml:space="preserve">Amount to invest: CNY 200,000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invest savings that are not needed for everyday spending.</w:t>
      </w:r>
    </w:p>
    <w:p>
      <w:pPr>
        <w:shd w:fill="F5F5F5" w:color="auto" w:val="clear"/>
        <w:spacing w:line="276" w:lineRule="auto"/>
        <w:ind w:left="360"/>
      </w:pPr>
      <w:r>
        <w:rPr>
          <w:rFonts w:ascii="Times New Roman" w:cs="Times New Roman" w:eastAsia="SimSun" w:hAnsi="Times New Roman"/>
          <w:sz w:val="20"/>
          <w:szCs w:val="20"/>
        </w:rPr>
        <w:t xml:space="preserve">Investment horizon: about 6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Risk tolerance: Aggressive. I can accept a temporary decline of up to about 25% in a year. My priority is long-term growth. If the stock market fell by 20%, I would hold my investments and possibly add a little more.</w:t>
      </w:r>
    </w:p>
    <w:p>
      <w:pPr>
        <w:shd w:fill="F5F5F5" w:color="auto" w:val="clear"/>
        <w:spacing w:line="276" w:lineRule="auto"/>
        <w:ind w:left="360"/>
      </w:pPr>
      <w:r>
        <w:rPr>
          <w:rFonts w:ascii="Times New Roman" w:cs="Times New Roman" w:eastAsia="SimSun" w:hAnsi="Times New Roman"/>
          <w:sz w:val="20"/>
          <w:szCs w:val="20"/>
        </w:rPr>
        <w:t xml:space="preserve">Investment experience: some experience with mutual funds.</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i/>
          <w:iCs/>
        </w:rPr>
        <w:t xml:space="preserve">PRB-03-RISK-C1</w:t>
      </w:r>
      <w:r>
        <w:rPr>
          <w:rFonts w:ascii="Times New Roman" w:cs="Times New Roman" w:eastAsia="SimSun" w:hAnsi="Times New Roman"/>
        </w:rPr>
        <w:t xml:space="preserve"> differs only in this line:</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6"/>
        <w:gridCol w:w="2804"/>
        <w:gridCol w:w="1151"/>
        <w:gridCol w:w="4365"/>
      </w:tblGrid>
      <w:tr>
        <w:trPr>
          <w:tblHeader/>
        </w:trPr>
        <w:tc>
          <w:tcPr>
            <w:tcW w:type="dxa" w:w="7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28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15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c>
          <w:tcPr>
            <w:tcW w:type="dxa" w:w="43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Detail</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rows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IDs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missing cells = 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cells = 200; max per cell = 1</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age range 18-85</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range 0.25-25.0 years</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ok = True; employment ok = True</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violations = 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texts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horizon_band~risk_class = 0.000; horizon_band~age_band = 0.000; risk_class~age_band = 0.000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subsample size = 40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rows = 160; anchors = 10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violations = 0</w:t>
            </w:r>
          </w:p>
        </w:tc>
      </w:tr>
      <w:tr>
        <w:trPr>
          <w:tblHeader w:val="false"/>
        </w:trPr>
        <w:tc>
          <w:tcPr>
            <w:tcW w:type="dxa" w:w="7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28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15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probe texts = 138 (shared across anchors where attribute combinations coincide)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Full report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Product risk ratings (RISKLEVEL) and reported stock allocation: Eastmoney / Tiantian Fund API (fundmobapi.eastmoney.com, pingzhongdata), because the Tonghuashun financial data API via fuyao.aicubes.cn has no product risk-rating field; NAV history for the backtest: Tonghuashun financial data API via fuyao.aicubes.cn)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3"/>
        <w:gridCol w:w="2402"/>
        <w:gridCol w:w="1669"/>
        <w:gridCol w:w="1944"/>
        <w:gridCol w:w="753"/>
        <w:gridCol w:w="753"/>
        <w:gridCol w:w="752"/>
      </w:tblGrid>
      <w:tr>
        <w:trPr>
          <w:tblHeader/>
        </w:trPr>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4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16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Manager</w:t>
            </w:r>
          </w:p>
        </w:tc>
        <w:tc>
          <w:tcPr>
            <w:tcW w:type="dxa" w:w="194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Tianhong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Bosera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Merchants Fund</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Fullgoal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Essence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Aegon-Industrial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Invesco Great Wall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Aegon-Industrial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Universal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Southern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Tianhong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Merchants Fund</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Guolian An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GF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Bosera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Huaan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4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16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Huaan Fund Management</w:t>
            </w:r>
          </w:p>
        </w:tc>
        <w:tc>
          <w:tcPr>
            <w:tcW w:type="dxa" w:w="194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(product key-facts statements and periodic reports indexed by 10jqka.com.cn, howbuy.com, lixinger.com, cfi.cn and finance.sina.com.cn). Inception dates (2003-2019) and per-fund URLs are in data/fund_menu_candidates.csv. Equity (%) is the category assumption, used only where reported stock holdings do not reflect the underlying exposure (index feeders, the FOF, gold); otherwise the latest reported stock share is used.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keepNext/>
        <w:spacing w:after="0" w:before="200" w:line="276" w:lineRule="auto"/>
        <w:jc w:val="left"/>
      </w:pPr>
      <w:r>
        <w:rPr>
          <w:rFonts w:ascii="Times New Roman" w:cs="Times New Roman" w:eastAsia="SimSun" w:hAnsi="Times New Roman"/>
          <w:b/>
          <w:bCs/>
        </w:rPr>
        <w:t xml:space="preserve">Table E1</w:t>
      </w:r>
    </w:p>
    <w:p>
      <w:pPr>
        <w:keepNext/>
        <w:spacing w:after="80" w:before="0" w:line="276" w:lineRule="auto"/>
        <w:jc w:val="left"/>
      </w:pPr>
      <w:r>
        <w:rPr>
          <w:rFonts w:ascii="Times New Roman" w:cs="Times New Roman" w:eastAsia="SimSun" w:hAnsi="Times New Roman"/>
          <w:i/>
          <w:iCs/>
        </w:rPr>
        <w:t xml:space="preserve">Principal coded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5292"/>
      </w:tblGrid>
      <w:tr>
        <w:trPr>
          <w:tblHeader/>
        </w:trPr>
        <w:tc>
          <w:tcPr>
            <w:tcW w:type="dxa" w:w="37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Field</w:t>
            </w:r>
          </w:p>
        </w:tc>
        <w:tc>
          <w:tcPr>
            <w:tcW w:type="dxa" w:w="529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Rule</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parse_status</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ok, fenced, extracted, repaired (trailing commas only) or failed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off_menu_count</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Codes not on the menu; excluded from risk measures, remaining weights rescaled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weight_sum_ok</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weights sum to 100 within 1 point</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equity_pct</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equity exposure of each on-menu fund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weighted_risk</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product rating (1-5)</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rating_breach</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(C1 R1 ... C5 R5)</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equity_over_cap</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above min(risk cap, horizon cap) by more than 5 points</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holding_period_breach</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minimum holding period exceeds the stated horizon</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mentions_conflict_terms</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Keyword rule: conflict, inconsistent, mismatch, contradict, tension, at odds, not compatible/consistent/aligned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risk_class_assessed</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SUIT only: class reported by the model</w:t>
            </w:r>
          </w:p>
        </w:tc>
      </w:tr>
      <w:tr>
        <w:trPr>
          <w:tblHeader w:val="false"/>
        </w:trPr>
        <w:tc>
          <w:tcPr>
            <w:tcW w:type="dxa" w:w="37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loss_tolerance_breach</w:t>
            </w:r>
          </w:p>
        </w:tc>
        <w:tc>
          <w:tcPr>
            <w:tcW w:type="dxa" w:w="529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back-tested 12-month return below minus the stated maximum loss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Complete data dictionary in docs/coding_sheet.md. Manual validation of the keyword rule: two group members independently code a stratified random sample of 60 replies; agreement is reported as Cohen's kappa.</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The experiment has not yet been run; this appendix is filled from outputs/logs.</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All code, data and logs are in the project repository. The samples are regenerated exactly with `python src/generate_profiles.py` (seed 20261022) and checked with `python src/validate_profiles.py`. The experiment runs with `python src/run_experiment.py`; coding, back-test, analysis and figures follow with `code_responses.py`, `backtest.py`, `analysis.py` and `figures.py`. Every table and figure in Sections 9 to 11 is produced by these scripts from the raw logs; no number is typed by hand. Automated tests (`python -m pytest tests`) check the parser, the suitability rules, the back-test arithmetic and the full pipeline on fixture data.</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was used to summarise the reference materials, draft the design, write and test the code, search for and check literature and fund records, and draft text. Every reference was checked against a bibliographic record, and four unverifiable references in the course example were dropped. Fund identities were checked against public records. No experimental result was produced by the assistant: the audited models' replies are the only source of results. The group reviewed and is responsible for all content. The full statement is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2b4e1819e7a6a34dcc67ccbaceba9ba8d80fb7c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2026-10-23T07:56:05.307Z</dcterms:created>
  <dcterms:modified xsi:type="dcterms:W3CDTF">2026-10-23T07:56:05.312Z</dcterms:modified>
</cp:coreProperties>
</file>

<file path=docProps/custom.xml><?xml version="1.0" encoding="utf-8"?>
<Properties xmlns="http://schemas.openxmlformats.org/officeDocument/2006/custom-properties" xmlns:vt="http://schemas.openxmlformats.org/officeDocument/2006/docPropsVTypes"/>
</file>