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8.png" ContentType="image/png"/>
  <Override PartName="/word/media/rId42.png" ContentType="image/png"/>
  <Override PartName="/word/media/rId34.png" ContentType="image/png"/>
  <Override PartName="/word/media/rId32.png" ContentType="image/png"/>
  <Override PartName="/word/media/rId38.png" ContentType="image/png"/>
  <Override PartName="/word/media/rId26.png" ContentType="image/png"/>
  <Override PartName="/word/media/rId40.png" ContentType="image/png"/>
  <Override PartName="/word/media/rId44.png" ContentType="image/png"/>
  <Override PartName="/word/media/rId50.png" ContentType="image/png"/>
  <Override PartName="/word/media/rId46.png" ContentType="image/png"/>
  <Override PartName="/word/media/rId36.png" ContentType="image/png"/>
  <Override PartName="/word/media/rId30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7bd1fb51adc61f5397ca62cd52db43752ce0b"/>
      <w:r>
        <w:t xml:space="preserve">Revit Tools ikonų rinkinys – išplėstas aprašymas</w:t>
      </w:r>
      <w:bookmarkEnd w:id="20"/>
    </w:p>
    <w:p>
      <w:pPr>
        <w:pStyle w:val="BlockText"/>
      </w:pPr>
      <w:r>
        <w:t xml:space="preserve">Integruota v2 ikonų versija peržiūrai prieš galutinį įdiegimą į programą.</w:t>
      </w:r>
    </w:p>
    <w:p>
      <w:pPr>
        <w:pStyle w:val="Heading2"/>
      </w:pPr>
      <w:bookmarkStart w:id="21" w:name="bendras-rinkinio-vaizdas"/>
      <w:r>
        <w:t xml:space="preserve">1) Bendras rinkinio vaizdas</w:t>
      </w:r>
      <w:bookmarkEnd w:id="21"/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Visų ikonų peržiūra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ll_icons_pre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Visų ikonų peržiūra</w:t>
      </w:r>
    </w:p>
    <w:p>
      <w:pPr>
        <w:pStyle w:val="Heading2"/>
      </w:pPr>
      <w:bookmarkStart w:id="23" w:name="dizaino-kryptis"/>
      <w:r>
        <w:t xml:space="preserve">2) Dizaino kryptis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Vieningas vizualinis stilius visiems mygtukams (gradientinė kortelė + balti simboliai).</w:t>
      </w:r>
    </w:p>
    <w:p>
      <w:pPr>
        <w:numPr>
          <w:ilvl w:val="0"/>
          <w:numId w:val="1001"/>
        </w:numPr>
        <w:pStyle w:val="Compact"/>
      </w:pPr>
      <w:r>
        <w:t xml:space="preserve">Aiškūs, greitai atpažįstami simboliai 96x96 mastelyje.</w:t>
      </w:r>
    </w:p>
    <w:p>
      <w:pPr>
        <w:numPr>
          <w:ilvl w:val="0"/>
          <w:numId w:val="1001"/>
        </w:numPr>
        <w:pStyle w:val="Compact"/>
      </w:pPr>
      <w:r>
        <w:t xml:space="preserve">Skirtingoms funkcijų grupėms parinktos atskiros spalvų nuotaikos:</w:t>
      </w:r>
    </w:p>
    <w:p>
      <w:pPr>
        <w:numPr>
          <w:ilvl w:val="1"/>
          <w:numId w:val="1002"/>
        </w:numPr>
        <w:pStyle w:val="Compact"/>
      </w:pPr>
      <w:r>
        <w:t xml:space="preserve">Tags: violetinė</w:t>
      </w:r>
    </w:p>
    <w:p>
      <w:pPr>
        <w:numPr>
          <w:ilvl w:val="1"/>
          <w:numId w:val="1002"/>
        </w:numPr>
        <w:pStyle w:val="Compact"/>
      </w:pPr>
      <w:r>
        <w:t xml:space="preserve">NSIK/parametrai: mėlyna–turkio</w:t>
      </w:r>
    </w:p>
    <w:p>
      <w:pPr>
        <w:numPr>
          <w:ilvl w:val="1"/>
          <w:numId w:val="1002"/>
        </w:numPr>
        <w:pStyle w:val="Compact"/>
      </w:pPr>
      <w:r>
        <w:t xml:space="preserve">Nustatymai: mėlynai pilka</w:t>
      </w:r>
    </w:p>
    <w:p>
      <w:pPr>
        <w:numPr>
          <w:ilvl w:val="1"/>
          <w:numId w:val="1002"/>
        </w:numPr>
        <w:pStyle w:val="Compact"/>
      </w:pPr>
      <w:r>
        <w:t xml:space="preserve">Sheets: žalia</w:t>
      </w:r>
    </w:p>
    <w:p>
      <w:pPr>
        <w:numPr>
          <w:ilvl w:val="1"/>
          <w:numId w:val="1002"/>
        </w:numPr>
        <w:pStyle w:val="Compact"/>
      </w:pPr>
      <w:r>
        <w:t xml:space="preserve">Views/Dimensions/Export: oranžinė, raudona, žydra</w:t>
      </w:r>
    </w:p>
    <w:p>
      <w:pPr>
        <w:pStyle w:val="Heading2"/>
      </w:pPr>
      <w:bookmarkStart w:id="24" w:name="ikonos-pagal-įrankį-išplėstiniai-aprašai"/>
      <w:r>
        <w:t xml:space="preserve">3) Ikonos pagal įrankį (išplėstiniai aprašai)</w:t>
      </w:r>
      <w:bookmarkEnd w:id="24"/>
    </w:p>
    <w:p>
      <w:pPr>
        <w:pStyle w:val="Heading3"/>
      </w:pPr>
      <w:bookmarkStart w:id="25" w:name="autotag"/>
      <w:r>
        <w:t xml:space="preserve">AutoTag</w:t>
      </w:r>
      <w:bookmarkEnd w:id="25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utoTag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utoTag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automatinis MEP elementų taginimas pagal pasirinktas taisykles.</w:t>
      </w:r>
      <w:r>
        <w:t xml:space="preserve"> </w:t>
      </w:r>
      <w:r>
        <w:t xml:space="preserve">- Ikonos logika: tag forma + automatikos akcentas (žvaigždutė/„spark“).</w:t>
      </w:r>
      <w:r>
        <w:t xml:space="preserve"> </w:t>
      </w:r>
      <w:r>
        <w:t xml:space="preserve">- UX tikslas: greitai suprasti, kad tai masinis, automatizuotas žymėjimas.</w:t>
      </w:r>
    </w:p>
    <w:p>
      <w:pPr>
        <w:pStyle w:val="Heading3"/>
      </w:pPr>
      <w:bookmarkStart w:id="27" w:name="aligntags"/>
      <w:r>
        <w:t xml:space="preserve">AlignTags</w:t>
      </w:r>
      <w:bookmarkEnd w:id="27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lignTags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lignTags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pažymėtų tagų lygiavimas horizontal/vertical.</w:t>
      </w:r>
      <w:r>
        <w:t xml:space="preserve"> </w:t>
      </w:r>
      <w:r>
        <w:t xml:space="preserve">- Ikonos logika: dvi tag kortelės ir aiški lygiavimo ašis.</w:t>
      </w:r>
      <w:r>
        <w:t xml:space="preserve"> </w:t>
      </w:r>
      <w:r>
        <w:t xml:space="preserve">- UX tikslas: vizualiai parodyti „sulygiuoti“ veiksmą vienu žvilgsniu.</w:t>
      </w:r>
    </w:p>
    <w:p>
      <w:pPr>
        <w:pStyle w:val="Heading3"/>
      </w:pPr>
      <w:bookmarkStart w:id="29" w:name="tagrules"/>
      <w:r>
        <w:t xml:space="preserve">TagRules</w:t>
      </w:r>
      <w:bookmarkEnd w:id="29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TagRules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TagRules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System -&gt; Tag taisyklių kūrimas/valdymas.</w:t>
      </w:r>
      <w:r>
        <w:t xml:space="preserve"> </w:t>
      </w:r>
      <w:r>
        <w:t xml:space="preserve">- Ikonos logika: check-list tipo taisyklių vaizdavimas.</w:t>
      </w:r>
      <w:r>
        <w:t xml:space="preserve"> </w:t>
      </w:r>
      <w:r>
        <w:t xml:space="preserve">- UX tikslas: iškart atskirti nuo AutoTag (vykdymo) funkcijos.</w:t>
      </w:r>
    </w:p>
    <w:p>
      <w:pPr>
        <w:pStyle w:val="Heading3"/>
      </w:pPr>
      <w:bookmarkStart w:id="31" w:name="autosection"/>
      <w:r>
        <w:t xml:space="preserve">AutoSection</w:t>
      </w:r>
      <w:bookmarkEnd w:id="31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utoSection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utoSection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sekcijų kūrimas pagal parinktą logiką.</w:t>
      </w:r>
      <w:r>
        <w:t xml:space="preserve"> </w:t>
      </w:r>
      <w:r>
        <w:t xml:space="preserve">- Ikonos logika: pjūvio kryptis ir sekcijos geometrijos užuomina.</w:t>
      </w:r>
      <w:r>
        <w:t xml:space="preserve"> </w:t>
      </w:r>
      <w:r>
        <w:t xml:space="preserve">- UX tikslas: suteikti aiškų ryšį su pjūviais/section įrankiu.</w:t>
      </w:r>
    </w:p>
    <w:p>
      <w:pPr>
        <w:pStyle w:val="Heading3"/>
      </w:pPr>
      <w:bookmarkStart w:id="33" w:name="autodim"/>
      <w:r>
        <w:t xml:space="preserve">AutoDim</w:t>
      </w:r>
      <w:bookmarkEnd w:id="33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utoDim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utoDim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automatizuotas matmenų dėjimas.</w:t>
      </w:r>
      <w:r>
        <w:t xml:space="preserve"> </w:t>
      </w:r>
      <w:r>
        <w:t xml:space="preserve">- Ikonos logika: klasikinė dimensijos rodyklių schema.</w:t>
      </w:r>
      <w:r>
        <w:t xml:space="preserve"> </w:t>
      </w:r>
      <w:r>
        <w:t xml:space="preserve">- UX tikslas: išlaikyti CAD/BIM vartotojams pažįstamą simboliką.</w:t>
      </w:r>
    </w:p>
    <w:p>
      <w:pPr>
        <w:pStyle w:val="Heading3"/>
      </w:pPr>
      <w:bookmarkStart w:id="35" w:name="smartexport"/>
      <w:r>
        <w:t xml:space="preserve">SmartExport</w:t>
      </w:r>
      <w:bookmarkEnd w:id="35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SmartExport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SmartExport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centralizuotas eksporto paleidimas.</w:t>
      </w:r>
      <w:r>
        <w:t xml:space="preserve"> </w:t>
      </w:r>
      <w:r>
        <w:t xml:space="preserve">- Ikonos logika: dokumentas/duomenys + kryptinė „output“ rodyklė.</w:t>
      </w:r>
      <w:r>
        <w:t xml:space="preserve"> </w:t>
      </w:r>
      <w:r>
        <w:t xml:space="preserve">- UX tikslas: aiškiai komunikuoti „išvežimo“/eksporto veiksmą.</w:t>
      </w:r>
    </w:p>
    <w:p>
      <w:pPr>
        <w:pStyle w:val="Heading3"/>
      </w:pPr>
      <w:bookmarkStart w:id="37" w:name="autosheet"/>
      <w:r>
        <w:t xml:space="preserve">AutoSheet</w:t>
      </w:r>
      <w:bookmarkEnd w:id="37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utoSheet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utoSheet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sheet/view kūrimas su automatika.</w:t>
      </w:r>
      <w:r>
        <w:t xml:space="preserve"> </w:t>
      </w:r>
      <w:r>
        <w:t xml:space="preserve">- Ikonos logika: lapas ir automatizavimo akcentas.</w:t>
      </w:r>
      <w:r>
        <w:t xml:space="preserve"> </w:t>
      </w:r>
      <w:r>
        <w:t xml:space="preserve">- UX tikslas: aiškiai atpažįstamas sheet kūrimo mygtukas.</w:t>
      </w:r>
    </w:p>
    <w:p>
      <w:pPr>
        <w:pStyle w:val="Heading3"/>
      </w:pPr>
      <w:bookmarkStart w:id="39" w:name="batchrename"/>
      <w:r>
        <w:t xml:space="preserve">BatchRename</w:t>
      </w:r>
      <w:bookmarkEnd w:id="39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BatchRename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BatchRename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masinis pervadinimas.</w:t>
      </w:r>
      <w:r>
        <w:t xml:space="preserve"> </w:t>
      </w:r>
      <w:r>
        <w:t xml:space="preserve">- Ikonos logika: A/B kortelės su pervadinimo kryptimi.</w:t>
      </w:r>
      <w:r>
        <w:t xml:space="preserve"> </w:t>
      </w:r>
      <w:r>
        <w:t xml:space="preserve">- UX tikslas: parodyti, kad keitimas vyksta „iš vieno į kitą“ masiškai.</w:t>
      </w:r>
    </w:p>
    <w:p>
      <w:pPr>
        <w:pStyle w:val="Heading3"/>
      </w:pPr>
      <w:bookmarkStart w:id="41" w:name="autocoder"/>
      <w:r>
        <w:t xml:space="preserve">AutoCoder</w:t>
      </w:r>
      <w:bookmarkEnd w:id="41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utoCoder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utoCoder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NSIK kodų priskyrimas pagal mapping.</w:t>
      </w:r>
      <w:r>
        <w:t xml:space="preserve"> </w:t>
      </w:r>
      <w:r>
        <w:t xml:space="preserve">- Ikonos logika: „code“ simbolika su klasifikavimo ženklu.</w:t>
      </w:r>
      <w:r>
        <w:t xml:space="preserve"> </w:t>
      </w:r>
      <w:r>
        <w:t xml:space="preserve">- UX tikslas: iškart matomas ryšys su kodavimu ir taisyklėmis.</w:t>
      </w:r>
    </w:p>
    <w:p>
      <w:pPr>
        <w:pStyle w:val="Heading3"/>
      </w:pPr>
      <w:bookmarkStart w:id="43" w:name="learnrules"/>
      <w:r>
        <w:t xml:space="preserve">LearnRules</w:t>
      </w:r>
      <w:bookmarkEnd w:id="43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LearnRules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LearnRules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taisyklių mokymasis iš modelio duomenų.</w:t>
      </w:r>
      <w:r>
        <w:t xml:space="preserve"> </w:t>
      </w:r>
      <w:r>
        <w:t xml:space="preserve">- Ikonos logika: lemputė (mokymasis/įžvalga) + taisyklių linijos.</w:t>
      </w:r>
      <w:r>
        <w:t xml:space="preserve"> </w:t>
      </w:r>
      <w:r>
        <w:t xml:space="preserve">- UX tikslas: atskirti nuo AutoCoder kaip „mokymo“ etapą.</w:t>
      </w:r>
    </w:p>
    <w:p>
      <w:pPr>
        <w:pStyle w:val="Heading3"/>
      </w:pPr>
      <w:bookmarkStart w:id="45" w:name="parametertransformer"/>
      <w:r>
        <w:t xml:space="preserve">ParameterTransformer</w:t>
      </w:r>
      <w:bookmarkEnd w:id="45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ParameterTransformer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ParameterTransformer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parametrų transformavimas/import-export/rollback.</w:t>
      </w:r>
      <w:r>
        <w:t xml:space="preserve"> </w:t>
      </w:r>
      <w:r>
        <w:t xml:space="preserve">- Ikonos logika: transformacijos kryptys + valdymo juosta.</w:t>
      </w:r>
      <w:r>
        <w:t xml:space="preserve"> </w:t>
      </w:r>
      <w:r>
        <w:t xml:space="preserve">- UX tikslas: signalizuoti duomenų konvertavimo/pakeitimo veiksmą.</w:t>
      </w:r>
    </w:p>
    <w:p>
      <w:pPr>
        <w:pStyle w:val="Heading3"/>
      </w:pPr>
      <w:bookmarkStart w:id="47" w:name="atnaujinti"/>
      <w:r>
        <w:t xml:space="preserve">Atnaujinti</w:t>
      </w:r>
      <w:bookmarkEnd w:id="47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Atnaujinti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Atnaujinti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paketo atnaujinimas/reload.</w:t>
      </w:r>
      <w:r>
        <w:t xml:space="preserve"> </w:t>
      </w:r>
      <w:r>
        <w:t xml:space="preserve">- Ikonos logika: refresh ciklas su rodykle.</w:t>
      </w:r>
      <w:r>
        <w:t xml:space="preserve"> </w:t>
      </w:r>
      <w:r>
        <w:t xml:space="preserve">- UX tikslas: klasikinis „update“ atpažinimas be papildomo teksto.</w:t>
      </w:r>
    </w:p>
    <w:p>
      <w:pPr>
        <w:pStyle w:val="Heading3"/>
      </w:pPr>
      <w:bookmarkStart w:id="49" w:name="pagalba"/>
      <w:r>
        <w:t xml:space="preserve">Pagalba</w:t>
      </w:r>
      <w:bookmarkEnd w:id="49"/>
    </w:p>
    <w:p>
      <w:pPr>
        <w:pStyle w:val="FirstParagraph"/>
      </w:pPr>
      <w:r>
        <w:drawing>
          <wp:inline>
            <wp:extent cx="1219200" cy="1219200"/>
            <wp:effectExtent b="0" l="0" r="0" t="0"/>
            <wp:docPr descr="Pagalba" title="" id="1" name="Picture"/>
            <a:graphic>
              <a:graphicData uri="http://schemas.openxmlformats.org/drawingml/2006/picture">
                <pic:pic>
                  <pic:nvPicPr>
                    <pic:cNvPr descr="icon_redesign_preview_2026-04-22/Pagalba_icon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Funkcija: įrankių aprašų/pagalbos atidarymas.</w:t>
      </w:r>
      <w:r>
        <w:t xml:space="preserve"> </w:t>
      </w:r>
      <w:r>
        <w:t xml:space="preserve">- Ikonos logika: klausimo simbolis saugiame apskritimo konteineryje.</w:t>
      </w:r>
      <w:r>
        <w:t xml:space="preserve"> </w:t>
      </w:r>
      <w:r>
        <w:t xml:space="preserve">- UX tikslas: universali, iškart suprantama help semantika.</w:t>
      </w:r>
    </w:p>
    <w:p>
      <w:pPr>
        <w:pStyle w:val="Heading2"/>
      </w:pPr>
      <w:bookmarkStart w:id="51" w:name="techninė-pastaba"/>
      <w:r>
        <w:t xml:space="preserve">4) Techninė pastaba</w:t>
      </w:r>
      <w:bookmarkEnd w:id="51"/>
    </w:p>
    <w:p>
      <w:pPr>
        <w:numPr>
          <w:ilvl w:val="0"/>
          <w:numId w:val="1003"/>
        </w:numPr>
        <w:pStyle w:val="Compact"/>
      </w:pPr>
      <w:r>
        <w:t xml:space="preserve">Visi failai paruošti 96x96 PNG (RGBA), tinkami pyRevit</w:t>
      </w:r>
      <w:r>
        <w:t xml:space="preserve"> </w:t>
      </w:r>
      <w:r>
        <w:rPr>
          <w:rStyle w:val="VerbatimChar"/>
        </w:rPr>
        <w:t xml:space="preserve">icon.png</w:t>
      </w:r>
      <w:r>
        <w:t xml:space="preserve"> </w:t>
      </w:r>
      <w:r>
        <w:t xml:space="preserve">naudojimui.</w:t>
      </w:r>
    </w:p>
    <w:p>
      <w:pPr>
        <w:numPr>
          <w:ilvl w:val="0"/>
          <w:numId w:val="1003"/>
        </w:numPr>
        <w:pStyle w:val="Compact"/>
      </w:pPr>
      <w:r>
        <w:t xml:space="preserve">Šiame etape tai peržiūros variantas; į aktyvius mygtukus integruosiu po galutinio patvirtinimo.</w:t>
      </w:r>
    </w:p>
    <w:p>
      <w:pPr>
        <w:pStyle w:val="Heading2"/>
      </w:pPr>
      <w:bookmarkStart w:id="52" w:name="failų-lokacijos"/>
      <w:r>
        <w:t xml:space="preserve">5) Failų lokacijos</w:t>
      </w:r>
      <w:bookmarkEnd w:id="52"/>
    </w:p>
    <w:p>
      <w:pPr>
        <w:numPr>
          <w:ilvl w:val="0"/>
          <w:numId w:val="1004"/>
        </w:numPr>
        <w:pStyle w:val="Compact"/>
      </w:pPr>
      <w:r>
        <w:t xml:space="preserve">Ikonų katalogas:</w:t>
      </w:r>
      <w:r>
        <w:t xml:space="preserve"> </w:t>
      </w:r>
      <w:r>
        <w:rPr>
          <w:rStyle w:val="VerbatimChar"/>
        </w:rPr>
        <w:t xml:space="preserve">projects/Revit_MEP_Tools/icon_redesign_preview_2026-04-22/</w:t>
      </w:r>
    </w:p>
    <w:p>
      <w:pPr>
        <w:numPr>
          <w:ilvl w:val="0"/>
          <w:numId w:val="1004"/>
        </w:numPr>
        <w:pStyle w:val="Compact"/>
      </w:pPr>
      <w:r>
        <w:t xml:space="preserve">Išplėstas aprašas:</w:t>
      </w:r>
      <w:r>
        <w:t xml:space="preserve"> </w:t>
      </w:r>
      <w:r>
        <w:rPr>
          <w:rStyle w:val="VerbatimChar"/>
        </w:rPr>
        <w:t xml:space="preserve">projects/Revit_MEP_Tools/IKONU_APRASYMAI_ISPLESTI.md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2026-04-22T05:15:01Z</dcterms:created>
  <dcterms:modified xsi:type="dcterms:W3CDTF">2026-04-22T05:15:01Z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