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CAA03" w14:textId="30B5E70B" w:rsidR="00044CAC" w:rsidRDefault="00A20A4C" w:rsidP="00157054">
      <w:pPr>
        <w:pStyle w:val="Ttulo"/>
      </w:pPr>
      <w:r>
        <w:t>Log de Decisões de Dados</w:t>
      </w:r>
    </w:p>
    <w:p w14:paraId="23A2E845" w14:textId="77777777" w:rsidR="00044CAC" w:rsidRDefault="00A20A4C">
      <w:pPr>
        <w:pStyle w:val="Ttulo2"/>
      </w:pPr>
      <w:r>
        <w:t>1. Contexto</w:t>
      </w:r>
    </w:p>
    <w:p w14:paraId="3BB554DE" w14:textId="77777777" w:rsidR="00044CAC" w:rsidRDefault="00A20A4C">
      <w:pPr>
        <w:spacing w:after="160"/>
      </w:pPr>
      <w:r>
        <w:t>Durante a exploração dos dados brutos da RAIS filtrados para São José dos Campos, foram identificados problemas estruturais que exigiam uma decisão explícita antes de seguir com a modelagem. Este documento registra o problema, a decisão adotada, a justificativa e o impacto de cada um, atendendo ao critério de aceite da User Story US03 (“tratar as inconsistências dos dados da RAIS”). Técnica inspirada em ADR (Architecture Decision Record), adaptada para decisões sobre tratamento de dados: toda nova decisão ganha uma entrada DEC-00X nova; não se edita o histórico de uma decisão já tomada — se a decisão mudar, registra-se uma nova entrada referenciando a anterior.</w:t>
      </w:r>
    </w:p>
    <w:p w14:paraId="3FD145EB" w14:textId="77777777" w:rsidR="00044CAC" w:rsidRDefault="00A20A4C">
      <w:pPr>
        <w:pStyle w:val="Ttulo2"/>
      </w:pPr>
      <w:r>
        <w:t>2. Decisões</w:t>
      </w:r>
    </w:p>
    <w:p w14:paraId="5A742308" w14:textId="77777777" w:rsidR="00044CAC" w:rsidRDefault="00A20A4C">
      <w:pPr>
        <w:pStyle w:val="Ttulo3"/>
      </w:pPr>
      <w:r>
        <w:t>DEC-001 — Estabelecimentos com vínculos ativos zerados (RAIS negativa)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33F588E3"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3470E1DE" w14:textId="77777777" w:rsidR="00044CAC" w:rsidRDefault="00A20A4C">
            <w:r>
              <w:rPr>
                <w:b/>
                <w:bCs/>
              </w:rPr>
              <w:t>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6995D411" w14:textId="77777777" w:rsidR="00044CAC" w:rsidRDefault="00A20A4C">
            <w:r>
              <w:rPr>
                <w:b/>
                <w:bCs/>
              </w:rPr>
              <w:t>Descrição</w:t>
            </w:r>
          </w:p>
        </w:tc>
      </w:tr>
      <w:tr w:rsidR="00044CAC" w14:paraId="74E8814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9137D7" w14:textId="77777777" w:rsidR="00044CAC" w:rsidRDefault="00A20A4C">
            <w:r>
              <w:t>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71828F7" w14:textId="77777777" w:rsidR="00044CAC" w:rsidRDefault="00A20A4C">
            <w:r>
              <w:t>30.470 dos 47.339 estabelecimentos do extrato de SJC (64,37%) apresentam Qtd Vínculos Ativos = 0 — declaração de “RAIS negativa”: o estabelecimento existe formalmente, mas não tinha nenhum vínculo empregatício ativo no ano de referência.</w:t>
            </w:r>
          </w:p>
        </w:tc>
      </w:tr>
      <w:tr w:rsidR="00044CAC" w14:paraId="6FFC7C3C"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16B4F3F0" w14:textId="77777777" w:rsidR="00044CAC" w:rsidRDefault="00A20A4C">
            <w:r>
              <w:t>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36FF0200" w14:textId="77777777" w:rsidR="00044CAC" w:rsidRDefault="00A20A4C">
            <w:r>
              <w:t>Os estabelecimentos com vínculos zerados permanecem na base (não são excluídos) e recebem um indicador próprio “possui_vinculo_ativo”. As visualizações de contratação e ranking de empregadores (US07, US08) usam por padrão apenas os 16.869 estabelecimentos com vínculo ativo; o total de estabelecimentos cadastrados é exibido à parte, como indicador de densidade empresarial do município.</w:t>
            </w:r>
          </w:p>
        </w:tc>
      </w:tr>
      <w:tr w:rsidR="00044CAC" w14:paraId="38ED46CD"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4436F984" w14:textId="77777777" w:rsidR="00044CAC" w:rsidRDefault="00A20A4C">
            <w:r>
              <w:t>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0C0F1034" w14:textId="77777777" w:rsidR="00044CAC" w:rsidRDefault="00A20A4C">
            <w:r>
              <w:t>Em orientação enviada por áudio ao Product Owner, o cliente esclareceu que a alta proporção de RAIS negativa não deve ser tratada como erro a ser descartado — pode refletir uma característica real da economia do município. A orientação foi reportar essa métrica como indicador próprio do dashboard, em vez de simplesmente excluí-la das análises de emprego.</w:t>
            </w:r>
          </w:p>
        </w:tc>
      </w:tr>
      <w:tr w:rsidR="00044CAC" w14:paraId="0A678EF6"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01C1EAE3" w14:textId="77777777" w:rsidR="00044CAC" w:rsidRDefault="00A20A4C">
            <w:r>
              <w:t>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075CB3BA" w14:textId="77777777" w:rsidR="00044CAC" w:rsidRDefault="00A20A4C">
            <w:r>
              <w:t>A base de análise de contratações usa por padrão 16.869 estabelecimentos ativos (dos 47.339 totais); o percentual de RAIS negativa (64,37%) é exibido como indicador próprio, não como dado descartado.</w:t>
            </w:r>
          </w:p>
        </w:tc>
      </w:tr>
      <w:tr w:rsidR="00044CAC" w14:paraId="4AFA6F08"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41E43A2A" w14:textId="77777777" w:rsidR="00044CAC" w:rsidRDefault="00A20A4C">
            <w:r>
              <w:t>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B9840CA" w14:textId="77777777" w:rsidR="00044CAC" w:rsidRDefault="00A20A4C">
            <w:r>
              <w:t>US07, US08</w:t>
            </w:r>
          </w:p>
        </w:tc>
      </w:tr>
      <w:tr w:rsidR="00044CAC" w14:paraId="23E38E48"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0482643F" w14:textId="77777777" w:rsidR="00044CAC" w:rsidRDefault="00A20A4C">
            <w:r>
              <w:t>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194C6C4D" w14:textId="77777777" w:rsidR="00044CAC" w:rsidRDefault="00A20A4C">
            <w:r>
              <w:t>Fechada — confirmada pelo cliente</w:t>
            </w:r>
          </w:p>
        </w:tc>
      </w:tr>
    </w:tbl>
    <w:p w14:paraId="6BD61E7F" w14:textId="77777777" w:rsidR="00044CAC" w:rsidRDefault="00A20A4C">
      <w:pPr>
        <w:pStyle w:val="Ttulo3"/>
      </w:pPr>
      <w:r>
        <w:t>DEC-002 — Mistura de tipos de estabelecimento (CNPJ, CAEPF, CNO)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55747B09"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105CCCC6" w14:textId="77777777" w:rsidR="00044CAC" w:rsidRDefault="00A20A4C">
            <w:r>
              <w:rPr>
                <w:b/>
                <w:bCs/>
              </w:rPr>
              <w:t>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53288B4A" w14:textId="77777777" w:rsidR="00044CAC" w:rsidRDefault="00A20A4C">
            <w:r>
              <w:rPr>
                <w:b/>
                <w:bCs/>
              </w:rPr>
              <w:t>Descrição</w:t>
            </w:r>
          </w:p>
        </w:tc>
      </w:tr>
      <w:tr w:rsidR="00044CAC" w14:paraId="2C3A40D5"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0A0EA59" w14:textId="77777777" w:rsidR="00044CAC" w:rsidRDefault="00A20A4C">
            <w:r>
              <w:t>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84B4F9E" w14:textId="77777777" w:rsidR="00044CAC" w:rsidRDefault="00A20A4C">
            <w:r>
              <w:t xml:space="preserve">A coluna Tipo Estab mistura três naturezas diferentes de registro: CNPJ — pessoa jurídica (46.244 linhas), CAEPF — produtor rural/profissional </w:t>
            </w:r>
            <w:proofErr w:type="gramStart"/>
            <w:r>
              <w:t>autônomo pessoa</w:t>
            </w:r>
            <w:proofErr w:type="gramEnd"/>
            <w:r>
              <w:t xml:space="preserve"> física (708) e CNO — obra de construção civil (387).</w:t>
            </w:r>
          </w:p>
        </w:tc>
      </w:tr>
      <w:tr w:rsidR="00044CAC" w14:paraId="2F5298A3"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51D5FC73" w14:textId="77777777" w:rsidR="00044CAC" w:rsidRDefault="00A20A4C">
            <w:r>
              <w:lastRenderedPageBreak/>
              <w:t>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1942B626" w14:textId="77777777" w:rsidR="00044CAC" w:rsidRDefault="00A20A4C">
            <w:r>
              <w:t>Foi criado o campo categórico “tipo_estabelecimento”. O recorte padrão do dashboard usa apenas registros do tipo CNPJ, alinhado ao escopo de “ecossistema industrial e de serviços”; CAEPF e CNO ficam disponíveis como filtro opcional, fora do recorte padrão.</w:t>
            </w:r>
          </w:p>
        </w:tc>
      </w:tr>
      <w:tr w:rsidR="00044CAC" w14:paraId="79A755CB"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0EB66DF9" w14:textId="77777777" w:rsidR="00044CAC" w:rsidRDefault="00A20A4C">
            <w:r>
              <w:t>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07A5AB3F" w14:textId="77777777" w:rsidR="00044CAC" w:rsidRDefault="00A20A4C">
            <w:r>
              <w:t>O requisito do cliente pede mapeamento de “empresas” — CAEPF (pessoa física autônoma) e CNO (obra temporária) não representam empresas no sentido solicitado. Sem essa separação, comparações entre setores e rankings misturariam naturezas jurídicas distintas, invalidando as comparações.</w:t>
            </w:r>
          </w:p>
        </w:tc>
      </w:tr>
      <w:tr w:rsidR="00044CAC" w14:paraId="700E464B"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239338A5" w14:textId="77777777" w:rsidR="00044CAC" w:rsidRDefault="00A20A4C">
            <w:r>
              <w:t>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1F0DAFF" w14:textId="77777777" w:rsidR="00044CAC" w:rsidRDefault="00A20A4C">
            <w:r>
              <w:t>Exclusão de 1.095 registros (708 + 387) do recorte principal — impacto pequeno no total, mas evita erro conceitual na apresentação.</w:t>
            </w:r>
          </w:p>
        </w:tc>
      </w:tr>
      <w:tr w:rsidR="00044CAC" w14:paraId="5528B245"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EABAD65" w14:textId="77777777" w:rsidR="00044CAC" w:rsidRDefault="00A20A4C">
            <w:r>
              <w:t>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4B27E929" w14:textId="77777777" w:rsidR="00044CAC" w:rsidRDefault="00A20A4C">
            <w:r>
              <w:t>US02, US07, US08</w:t>
            </w:r>
          </w:p>
        </w:tc>
      </w:tr>
      <w:tr w:rsidR="00044CAC" w14:paraId="03AC159D"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154BDBE2" w14:textId="77777777" w:rsidR="00044CAC" w:rsidRDefault="00A20A4C">
            <w:r>
              <w:t>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1A3F2646" w14:textId="77777777" w:rsidR="00044CAC" w:rsidRDefault="00A20A4C">
            <w:r>
              <w:t>Fechada — critério assumido pela equipe; validar formalmente com o cliente se possível</w:t>
            </w:r>
          </w:p>
        </w:tc>
      </w:tr>
    </w:tbl>
    <w:p w14:paraId="7BC5D4C4" w14:textId="77777777" w:rsidR="00044CAC" w:rsidRDefault="00A20A4C">
      <w:pPr>
        <w:pStyle w:val="Ttulo3"/>
      </w:pPr>
      <w:r>
        <w:t>DEC-003 — Ano-base de referência da RAIS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3CADAAFC"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6F804DE6" w14:textId="77777777" w:rsidR="00044CAC" w:rsidRDefault="00A20A4C">
            <w:r>
              <w:rPr>
                <w:b/>
                <w:bCs/>
              </w:rPr>
              <w:t>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28396392" w14:textId="77777777" w:rsidR="00044CAC" w:rsidRDefault="00A20A4C">
            <w:r>
              <w:rPr>
                <w:b/>
                <w:bCs/>
              </w:rPr>
              <w:t>Descrição</w:t>
            </w:r>
          </w:p>
        </w:tc>
      </w:tr>
      <w:tr w:rsidR="00044CAC" w14:paraId="318FAA6B"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D85624E" w14:textId="77777777" w:rsidR="00044CAC" w:rsidRDefault="00A20A4C">
            <w:r>
              <w:t>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31194598" w14:textId="77777777" w:rsidR="00044CAC" w:rsidRDefault="00A20A4C">
            <w:r>
              <w:t>O arquivo fornecido (RAIS_ESTAB_PUB) não contém uma coluna explícita indicando o ano-base da declaração RAIS.</w:t>
            </w:r>
          </w:p>
        </w:tc>
      </w:tr>
      <w:tr w:rsidR="00044CAC" w14:paraId="370C7949"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F89884F" w14:textId="77777777" w:rsidR="00044CAC" w:rsidRDefault="00A20A4C">
            <w:r>
              <w:t>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0A3F3CCF" w14:textId="77777777" w:rsidR="00044CAC" w:rsidRDefault="00A20A4C">
            <w:r>
              <w:t>Adotar RAIS ano-base 2024 em todas as análises e visualizações do painel, com a informação indicada explicitamente em todo gráfico ou relatório publicado.</w:t>
            </w:r>
          </w:p>
        </w:tc>
      </w:tr>
      <w:tr w:rsidR="00044CAC" w14:paraId="325A5C3C"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495C62D" w14:textId="77777777" w:rsidR="00044CAC" w:rsidRDefault="00A20A4C">
            <w:r>
              <w:t>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30E09254" w14:textId="77777777" w:rsidR="00044CAC" w:rsidRDefault="00A20A4C">
            <w:r>
              <w:t>O cliente (CADI / Secretaria de Desenvolvimento Econômico) confirmou o ano-base 2024. O ano de referência é essencial para cruzar com o PIB dos Municípios (IBGE) no mesmo período (US09) e para qualquer comparação temporal futura.</w:t>
            </w:r>
          </w:p>
        </w:tc>
      </w:tr>
      <w:tr w:rsidR="00044CAC" w14:paraId="70B3C5DD"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4F913AB8" w14:textId="77777777" w:rsidR="00044CAC" w:rsidRDefault="00A20A4C">
            <w:r>
              <w:t>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11868548" w14:textId="77777777" w:rsidR="00044CAC" w:rsidRDefault="00A20A4C">
            <w:r>
              <w:t>Desbloqueia a US09 (impacto no PIB) e fecha a pendência mais crítica do checklist de erros. Toda visualização temporal do painel deve indicar “RAIS 2024”.</w:t>
            </w:r>
          </w:p>
        </w:tc>
      </w:tr>
      <w:tr w:rsidR="00044CAC" w14:paraId="68C70CE9"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3BBA9DA8" w14:textId="77777777" w:rsidR="00044CAC" w:rsidRDefault="00A20A4C">
            <w:r>
              <w:t>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013EFEF1" w14:textId="77777777" w:rsidR="00044CAC" w:rsidRDefault="00A20A4C">
            <w:r>
              <w:t>US08, US09, US10</w:t>
            </w:r>
          </w:p>
        </w:tc>
      </w:tr>
      <w:tr w:rsidR="00044CAC" w14:paraId="7F4CA793"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37472AAD" w14:textId="77777777" w:rsidR="00044CAC" w:rsidRDefault="00A20A4C">
            <w:r>
              <w:t>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403D0098" w14:textId="77777777" w:rsidR="00044CAC" w:rsidRDefault="00A20A4C">
            <w:r>
              <w:t>Fechada — confirmada pelo cliente</w:t>
            </w:r>
          </w:p>
        </w:tc>
      </w:tr>
    </w:tbl>
    <w:p w14:paraId="3AC5A2DF" w14:textId="77777777" w:rsidR="00044CAC" w:rsidRDefault="00A20A4C">
      <w:pPr>
        <w:pStyle w:val="Ttulo3"/>
      </w:pPr>
      <w:r>
        <w:t>DEC-004 — Ausência de identificação nominal (nome/CNPJ) nos dados públicos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23006FF0"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4B061137" w14:textId="77777777" w:rsidR="00044CAC" w:rsidRDefault="00A20A4C">
            <w:r>
              <w:rPr>
                <w:b/>
                <w:bCs/>
              </w:rPr>
              <w:t>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42CF3A68" w14:textId="77777777" w:rsidR="00044CAC" w:rsidRDefault="00A20A4C">
            <w:r>
              <w:rPr>
                <w:b/>
                <w:bCs/>
              </w:rPr>
              <w:t>Descrição</w:t>
            </w:r>
          </w:p>
        </w:tc>
      </w:tr>
      <w:tr w:rsidR="00044CAC" w14:paraId="2A270BDB"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2D320F4" w14:textId="77777777" w:rsidR="00044CAC" w:rsidRDefault="00A20A4C">
            <w:r>
              <w:t>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58A41784" w14:textId="77777777" w:rsidR="00044CAC" w:rsidRDefault="00A20A4C">
            <w:r>
              <w:t>Os microdados públicos da RAIS não trazem nome ou CNPJ das empresas, apenas atributos agregados por estabelecimento (CNAE, porte, natureza jurídica, CEP).</w:t>
            </w:r>
          </w:p>
        </w:tc>
      </w:tr>
      <w:tr w:rsidR="00044CAC" w14:paraId="14AABC53"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36FE8F6D" w14:textId="77777777" w:rsidR="00044CAC" w:rsidRDefault="00A20A4C">
            <w:r>
              <w:t>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5ED10B48" w14:textId="77777777" w:rsidR="00044CAC" w:rsidRDefault="00A20A4C">
            <w:r>
              <w:t>Não tentar inferir</w:t>
            </w:r>
            <w:proofErr w:type="gramStart"/>
            <w:r>
              <w:t>/“</w:t>
            </w:r>
            <w:proofErr w:type="gramEnd"/>
            <w:r>
              <w:t xml:space="preserve">adivinhar” nomes de empresa a partir de CNAE + porte. O ranking de “empresas que mais contratam” (US07) é apresentado de forma agregada — por setor (CNAE) e por região — em </w:t>
            </w:r>
            <w:r>
              <w:lastRenderedPageBreak/>
              <w:t>vez de por razão social, salvo se o cliente confirmar o fornecimento de uma base identificada.</w:t>
            </w:r>
          </w:p>
        </w:tc>
      </w:tr>
      <w:tr w:rsidR="00044CAC" w14:paraId="33C88731"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5077698" w14:textId="77777777" w:rsidR="00044CAC" w:rsidRDefault="00A20A4C">
            <w:r>
              <w:lastRenderedPageBreak/>
              <w:t>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3A5D9922" w14:textId="77777777" w:rsidR="00044CAC" w:rsidRDefault="00A20A4C">
            <w:r>
              <w:t>Dados identificados da RAIS são sigilosos por lei (acesso restrito a órgãos públicos autorizados); usar a RAIS pública para supor identidade de empresas seria metodologicamente incorreto e não verificável/auditável.</w:t>
            </w:r>
          </w:p>
        </w:tc>
      </w:tr>
      <w:tr w:rsidR="00044CAC" w14:paraId="3C19278F"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2EF73479" w14:textId="77777777" w:rsidR="00044CAC" w:rsidRDefault="00A20A4C">
            <w:r>
              <w:t>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5CA4DF58" w14:textId="77777777" w:rsidR="00044CAC" w:rsidRDefault="00A20A4C">
            <w:r>
              <w:t>A camada de “nome de empresa” no produto final depende de fonte externa curada (ou de eventual base identificada do cliente), não da RAIS pública.</w:t>
            </w:r>
          </w:p>
        </w:tc>
      </w:tr>
      <w:tr w:rsidR="00044CAC" w14:paraId="70B50C07"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2C0F64B4" w14:textId="77777777" w:rsidR="00044CAC" w:rsidRDefault="00A20A4C">
            <w:r>
              <w:t>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597195E" w14:textId="77777777" w:rsidR="00044CAC" w:rsidRDefault="00A20A4C">
            <w:r>
              <w:t>US07</w:t>
            </w:r>
          </w:p>
        </w:tc>
      </w:tr>
      <w:tr w:rsidR="00044CAC" w14:paraId="24286FAE"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C9B636C" w14:textId="77777777" w:rsidR="00044CAC" w:rsidRDefault="00A20A4C">
            <w:r>
              <w:t>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2042223E" w14:textId="77777777" w:rsidR="00044CAC" w:rsidRDefault="00A20A4C">
            <w:r>
              <w:t>Aberta — aguardando resposta do cliente sobre eventual base identificada</w:t>
            </w:r>
          </w:p>
        </w:tc>
      </w:tr>
    </w:tbl>
    <w:p w14:paraId="3E5120CE" w14:textId="77777777" w:rsidR="00044CAC" w:rsidRDefault="00A20A4C">
      <w:pPr>
        <w:pStyle w:val="Ttulo3"/>
      </w:pPr>
      <w:r>
        <w:t>DEC-005 — Defasagem entre RAIS (2024) e PIB dos Municípios/IBGE (2022–2023)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44CAC" w14:paraId="0F35FF4E" w14:textId="77777777">
        <w:trPr>
          <w:tblHeader/>
        </w:trPr>
        <w:tc>
          <w:tcPr>
            <w:tcW w:w="2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49645A53" w14:textId="77777777" w:rsidR="00044CAC" w:rsidRDefault="00A20A4C">
            <w:r>
              <w:rPr>
                <w:b/>
                <w:bCs/>
              </w:rPr>
              <w:t>Campo</w:t>
            </w:r>
          </w:p>
        </w:tc>
        <w:tc>
          <w:tcPr>
            <w:tcW w:w="66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29E9F3AD" w14:textId="77777777" w:rsidR="00044CAC" w:rsidRDefault="00A20A4C">
            <w:r>
              <w:rPr>
                <w:b/>
                <w:bCs/>
              </w:rPr>
              <w:t>Descrição</w:t>
            </w:r>
          </w:p>
        </w:tc>
      </w:tr>
      <w:tr w:rsidR="00044CAC" w14:paraId="6BC0D91B"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25900371" w14:textId="77777777" w:rsidR="00044CAC" w:rsidRDefault="00A20A4C">
            <w:r>
              <w:t>Problema identificado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20E0D10E" w14:textId="77777777" w:rsidR="00044CAC" w:rsidRDefault="00A20A4C">
            <w:r>
              <w:t xml:space="preserve">Com o ano-base da RAIS confirmado em 2024 (DEC-003), verificou-se que o PIB dos Municípios (IBGE) mais recente disponível é a série 2022–2023 — não existe PIB 2024 publicado; a edição seguinte ainda não foi publicada.</w:t>
            </w:r>
          </w:p>
        </w:tc>
      </w:tr>
      <w:tr w:rsidR="00044CAC" w14:paraId="201C20A6"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055C489" w14:textId="77777777" w:rsidR="00044CAC" w:rsidRDefault="00A20A4C">
            <w:r>
              <w:t>Decisão adotada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5561B2FB" w14:textId="77777777" w:rsidR="00044CAC" w:rsidRDefault="00A20A4C">
            <w:r>
              <w:t>Para a US09 (impacto no PIB), cruzar RAIS 2024 com o PIB municipal 2023 — o ano mais recente disponível — documentando explicitamente, no dashboard e no relatório técnico, a defasagem de 1 ano entre as duas fontes.</w:t>
            </w:r>
          </w:p>
        </w:tc>
      </w:tr>
      <w:tr w:rsidR="00044CAC" w14:paraId="5FFAFFB4"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721D557F" w14:textId="77777777" w:rsidR="00044CAC" w:rsidRDefault="00A20A4C">
            <w:r>
              <w:t>Justificativa</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6A65D721" w14:textId="77777777" w:rsidR="00044CAC" w:rsidRDefault="00A20A4C">
            <w:r>
              <w:t>O prazo do projeto (1 semestre letivo, 3 sprints) não comporta aguardar a divulgação do PIB 2024 pelo IBGE. Cruzar com o dado mais recente disponível, com a defasagem declarada como limitação metodológica, é prática padrão em estudos municipais que combinam RAIS e Contas Nacionais.</w:t>
            </w:r>
          </w:p>
        </w:tc>
      </w:tr>
      <w:tr w:rsidR="00044CAC" w14:paraId="321D610F"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3B3079C0" w14:textId="77777777" w:rsidR="00044CAC" w:rsidRDefault="00A20A4C">
            <w:r>
              <w:t>Impacto</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4DBBA107" w14:textId="77777777" w:rsidR="00044CAC" w:rsidRDefault="00A20A4C">
            <w:r>
              <w:t>Todo gráfico que cruzar RAIS x PIB deve indicar os anos de cada fonte (RAIS 2024 / PIB 2023) para evitar leitura equivocada.</w:t>
            </w:r>
          </w:p>
        </w:tc>
      </w:tr>
      <w:tr w:rsidR="00044CAC" w14:paraId="61ED063A"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2C215C49" w14:textId="77777777" w:rsidR="00044CAC" w:rsidRDefault="00A20A4C">
            <w:r>
              <w:t>User Stories impactadas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16DE1C36" w14:textId="77777777" w:rsidR="00044CAC" w:rsidRDefault="00A20A4C">
            <w:r>
              <w:t>US09</w:t>
            </w:r>
          </w:p>
        </w:tc>
      </w:tr>
      <w:tr w:rsidR="00044CAC" w14:paraId="43D81807" w14:textId="77777777">
        <w:tc>
          <w:tcPr>
            <w:tcW w:w="2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5D14CB44" w14:textId="77777777" w:rsidR="00044CAC" w:rsidRDefault="00A20A4C">
            <w:r>
              <w:t>Status</w:t>
            </w:r>
          </w:p>
        </w:tc>
        <w:tc>
          <w:tcPr>
            <w:tcW w:w="66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01C6D4A3" w14:textId="77777777" w:rsidR="00044CAC" w:rsidRDefault="00A20A4C">
            <w:r>
              <w:t>Fechada</w:t>
            </w:r>
          </w:p>
        </w:tc>
      </w:tr>
    </w:tbl>
    <w:p w14:paraId="541EA1D5" w14:textId="77777777" w:rsidR="00044CAC" w:rsidRDefault="00A20A4C">
      <w:pPr>
        <w:pStyle w:val="Ttulo2"/>
      </w:pPr>
      <w:r>
        <w:t>3. Fechamento da US03</w:t>
      </w:r>
    </w:p>
    <w:p w14:paraId="36333854" w14:textId="77777777" w:rsidR="00044CAC" w:rsidRDefault="00A20A4C">
      <w:pPr>
        <w:spacing w:after="160"/>
      </w:pPr>
      <w:r>
        <w:t>Com as cinco decisões acima registradas, o critério de aceite da US03 (“cada inconsistência encontrada está registrada no Log de Decisões com o tratamento adotado”) está atendido. Status da US03 no Backlog do Produto: Concluído.</w:t>
      </w:r>
    </w:p>
    <w:p w14:paraId="6604C116" w14:textId="77777777" w:rsidR="00044CAC" w:rsidRDefault="00A20A4C">
      <w:pPr>
        <w:pStyle w:val="Ttulo2"/>
      </w:pPr>
      <w:r>
        <w:t>4. Pendências que permanecem em aberto com o cliente</w:t>
      </w:r>
    </w:p>
    <w:p w14:paraId="5F704946" w14:textId="77777777" w:rsidR="00044CAC" w:rsidRDefault="00A20A4C">
      <w:pPr>
        <w:pStyle w:val="PargrafodaLista"/>
        <w:numPr>
          <w:ilvl w:val="0"/>
          <w:numId w:val="1"/>
        </w:numPr>
        <w:spacing w:after="60"/>
      </w:pPr>
      <w:r>
        <w:t>Disponibilidade de dados identificados (nome/CNPJ dos estabelecimentos) — afeta DEC-004. Plano de contingência definido (ranking agregado por setor/região), mas uma resposta do cliente pode alterar a abordagem da US07.</w:t>
      </w:r>
    </w:p>
    <w:p w14:paraId="71B7EBED" w14:textId="77777777" w:rsidR="00044CAC" w:rsidRDefault="00A20A4C">
      <w:pPr>
        <w:pStyle w:val="PargrafodaLista"/>
        <w:numPr>
          <w:ilvl w:val="0"/>
          <w:numId w:val="1"/>
        </w:numPr>
        <w:spacing w:after="60"/>
      </w:pPr>
      <w:r>
        <w:lastRenderedPageBreak/>
        <w:t>Confirmação formal do critério de segmentação por natureza de estabelecimento (DEC-002) junto ao cliente, ainda que a equipe já o tenha adotado.</w:t>
      </w:r>
    </w:p>
    <w:p w14:paraId="37E2D9B6" w14:textId="77777777" w:rsidR="00044CAC" w:rsidRDefault="00A20A4C">
      <w:pPr>
        <w:spacing w:after="160"/>
      </w:pPr>
      <w:r>
        <w:rPr>
          <w:i/>
          <w:iCs/>
        </w:rPr>
        <w:t>Essas pendências não bloqueiam o fechamento da Sprint 1, mas devem ser acompanhadas: uma resposta do cliente pode exigir o ajuste das decisões acima em uma revisão futura deste log.</w:t>
      </w:r>
    </w:p>
    <w:p w14:paraId="14C6E347" w14:textId="77777777" w:rsidR="00044CAC" w:rsidRDefault="00A20A4C">
      <w:pPr>
        <w:pStyle w:val="Ttulo2"/>
      </w:pPr>
      <w:r>
        <w:t>Como usar este log</w:t>
      </w:r>
    </w:p>
    <w:p w14:paraId="2D09CB33" w14:textId="77777777" w:rsidR="00044CAC" w:rsidRDefault="00A20A4C">
      <w:pPr>
        <w:pStyle w:val="PargrafodaLista"/>
        <w:numPr>
          <w:ilvl w:val="0"/>
          <w:numId w:val="1"/>
        </w:numPr>
        <w:spacing w:after="60"/>
      </w:pPr>
      <w:r>
        <w:t>Toda nova decisão sobre tratamento de dado ganha uma entrada DEC-00X nova, nunca se edita o histórico de uma decisão já tomada (se a decisão mudar, registra-se uma nova entrada referenciando a anterior).</w:t>
      </w:r>
    </w:p>
    <w:p w14:paraId="6BC5240A" w14:textId="77777777" w:rsidR="00044CAC" w:rsidRDefault="00A20A4C">
      <w:pPr>
        <w:pStyle w:val="PargrafodaLista"/>
        <w:numPr>
          <w:ilvl w:val="0"/>
          <w:numId w:val="1"/>
        </w:numPr>
        <w:spacing w:after="60"/>
      </w:pPr>
      <w:r>
        <w:t>Este arquivo deve ser citado no relatório técnico de cada sprint sempre que uma decisão aqui registrada afetar o resultado apresentado.</w:t>
      </w:r>
    </w:p>
    <w:sectPr w:rsidR="00044CAC">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2B238" w14:textId="77777777" w:rsidR="00A20A4C" w:rsidRDefault="00A20A4C">
      <w:r>
        <w:separator/>
      </w:r>
    </w:p>
  </w:endnote>
  <w:endnote w:type="continuationSeparator" w:id="0">
    <w:p w14:paraId="2DE724BF" w14:textId="77777777" w:rsidR="00A20A4C" w:rsidRDefault="00A20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A7C85" w14:textId="77777777" w:rsidR="00044CAC" w:rsidRDefault="00A20A4C">
    <w:pPr>
      <w:jc w:val="center"/>
    </w:pPr>
    <w:r>
      <w:rPr>
        <w:color w:val="595959"/>
        <w:sz w:val="16"/>
        <w:szCs w:val="16"/>
      </w:rPr>
      <w:t xml:space="preserve">Observatório do Ecossistema Industrial e de Serviços de São José dos Campos — </w:t>
    </w:r>
    <w:r>
      <w:rPr>
        <w:color w:val="595959"/>
        <w:sz w:val="16"/>
        <w:szCs w:val="16"/>
      </w:rPr>
      <w:fldChar w:fldCharType="begin"/>
    </w:r>
    <w:r>
      <w:rPr>
        <w:color w:val="595959"/>
        <w:sz w:val="16"/>
        <w:szCs w:val="16"/>
      </w:rPr>
      <w:instrText>PAGE</w:instrText>
    </w:r>
    <w:r>
      <w:rPr>
        <w:color w:val="595959"/>
        <w:sz w:val="16"/>
        <w:szCs w:val="16"/>
      </w:rPr>
      <w:fldChar w:fldCharType="separate"/>
    </w:r>
    <w:r>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A52A3" w14:textId="77777777" w:rsidR="00A20A4C" w:rsidRDefault="00A20A4C">
      <w:r>
        <w:separator/>
      </w:r>
    </w:p>
  </w:footnote>
  <w:footnote w:type="continuationSeparator" w:id="0">
    <w:p w14:paraId="626FDFB8" w14:textId="77777777" w:rsidR="00A20A4C" w:rsidRDefault="00A20A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8F549B"/>
    <w:multiLevelType w:val="hybridMultilevel"/>
    <w:tmpl w:val="E7646E2E"/>
    <w:lvl w:ilvl="0" w:tplc="5E5C70C8">
      <w:start w:val="1"/>
      <w:numFmt w:val="bullet"/>
      <w:lvlText w:val="●"/>
      <w:lvlJc w:val="left"/>
      <w:pPr>
        <w:ind w:left="720" w:hanging="360"/>
      </w:pPr>
    </w:lvl>
    <w:lvl w:ilvl="1" w:tplc="3A125476">
      <w:start w:val="1"/>
      <w:numFmt w:val="bullet"/>
      <w:lvlText w:val="○"/>
      <w:lvlJc w:val="left"/>
      <w:pPr>
        <w:ind w:left="1440" w:hanging="360"/>
      </w:pPr>
    </w:lvl>
    <w:lvl w:ilvl="2" w:tplc="88581BDA">
      <w:start w:val="1"/>
      <w:numFmt w:val="bullet"/>
      <w:lvlText w:val="■"/>
      <w:lvlJc w:val="left"/>
      <w:pPr>
        <w:ind w:left="2160" w:hanging="360"/>
      </w:pPr>
    </w:lvl>
    <w:lvl w:ilvl="3" w:tplc="C4B251CE">
      <w:start w:val="1"/>
      <w:numFmt w:val="bullet"/>
      <w:lvlText w:val="●"/>
      <w:lvlJc w:val="left"/>
      <w:pPr>
        <w:ind w:left="2880" w:hanging="360"/>
      </w:pPr>
    </w:lvl>
    <w:lvl w:ilvl="4" w:tplc="A54CCB98">
      <w:start w:val="1"/>
      <w:numFmt w:val="bullet"/>
      <w:lvlText w:val="○"/>
      <w:lvlJc w:val="left"/>
      <w:pPr>
        <w:ind w:left="3600" w:hanging="360"/>
      </w:pPr>
    </w:lvl>
    <w:lvl w:ilvl="5" w:tplc="F990D676">
      <w:start w:val="1"/>
      <w:numFmt w:val="bullet"/>
      <w:lvlText w:val="■"/>
      <w:lvlJc w:val="left"/>
      <w:pPr>
        <w:ind w:left="4320" w:hanging="360"/>
      </w:pPr>
    </w:lvl>
    <w:lvl w:ilvl="6" w:tplc="0D6C5402">
      <w:start w:val="1"/>
      <w:numFmt w:val="bullet"/>
      <w:lvlText w:val="●"/>
      <w:lvlJc w:val="left"/>
      <w:pPr>
        <w:ind w:left="5040" w:hanging="360"/>
      </w:pPr>
    </w:lvl>
    <w:lvl w:ilvl="7" w:tplc="530C67A2">
      <w:start w:val="1"/>
      <w:numFmt w:val="bullet"/>
      <w:lvlText w:val="●"/>
      <w:lvlJc w:val="left"/>
      <w:pPr>
        <w:ind w:left="5760" w:hanging="360"/>
      </w:pPr>
    </w:lvl>
    <w:lvl w:ilvl="8" w:tplc="10888C46">
      <w:start w:val="1"/>
      <w:numFmt w:val="bullet"/>
      <w:lvlText w:val="●"/>
      <w:lvlJc w:val="left"/>
      <w:pPr>
        <w:ind w:left="6480" w:hanging="360"/>
      </w:pPr>
    </w:lvl>
  </w:abstractNum>
  <w:num w:numId="1" w16cid:durableId="2140294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CAC"/>
    <w:rsid w:val="00044CAC"/>
    <w:rsid w:val="00157054"/>
    <w:rsid w:val="004A47DD"/>
    <w:rsid w:val="00A20A4C"/>
    <w:rsid w:val="00D1563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7A00"/>
  <w15:docId w15:val="{88537074-D13A-417E-951B-6A3F110E1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000000"/>
      </w:pBdr>
      <w:spacing w:before="320" w:after="160"/>
      <w:outlineLvl w:val="0"/>
    </w:pPr>
    <w:rPr>
      <w:b/>
      <w:bCs/>
      <w:sz w:val="28"/>
      <w:szCs w:val="28"/>
    </w:rPr>
  </w:style>
  <w:style w:type="paragraph" w:styleId="Ttulo2">
    <w:name w:val="heading 2"/>
    <w:uiPriority w:val="9"/>
    <w:unhideWhenUsed/>
    <w:qFormat/>
    <w:pPr>
      <w:spacing w:before="240" w:after="120"/>
      <w:outlineLvl w:val="1"/>
    </w:pPr>
    <w:rPr>
      <w:b/>
      <w:bCs/>
      <w:sz w:val="24"/>
      <w:szCs w:val="24"/>
    </w:rPr>
  </w:style>
  <w:style w:type="paragraph" w:styleId="Ttulo3">
    <w:name w:val="heading 3"/>
    <w:uiPriority w:val="9"/>
    <w:unhideWhenUsed/>
    <w:qFormat/>
    <w:pPr>
      <w:spacing w:before="200" w:after="10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pPr>
      <w:spacing w:after="120"/>
    </w:pPr>
    <w:rPr>
      <w:b/>
      <w:bCs/>
      <w:sz w:val="40"/>
      <w:szCs w:val="40"/>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1173</Words>
  <Characters>6335</Characters>
  <Application>Microsoft Office Word</Application>
  <DocSecurity>0</DocSecurity>
  <Lines>52</Lines>
  <Paragraphs>14</Paragraphs>
  <ScaleCrop>false</ScaleCrop>
  <Company>Centro Paula Souza</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Fatec</cp:lastModifiedBy>
  <cp:revision>3</cp:revision>
  <dcterms:created xsi:type="dcterms:W3CDTF">2026-09-22T11:21:00Z</dcterms:created>
  <dcterms:modified xsi:type="dcterms:W3CDTF">2026-09-28T22:53:00Z</dcterms:modified>
</cp:coreProperties>
</file>